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1F" w:rsidRDefault="00102B1F" w:rsidP="004F48A7">
      <w:pPr>
        <w:tabs>
          <w:tab w:val="left" w:pos="1276"/>
        </w:tabs>
      </w:pPr>
    </w:p>
    <w:p w:rsidR="00546536" w:rsidRPr="000714B6" w:rsidRDefault="00B225F3" w:rsidP="00FF6992">
      <w:pPr>
        <w:sectPr w:rsidR="00546536" w:rsidRPr="000714B6" w:rsidSect="00F1528B">
          <w:headerReference w:type="default" r:id="rId8"/>
          <w:type w:val="continuous"/>
          <w:pgSz w:w="11907" w:h="16840" w:code="9"/>
          <w:pgMar w:top="2694" w:right="1701" w:bottom="1531" w:left="1418" w:header="595" w:footer="709" w:gutter="0"/>
          <w:cols w:space="708"/>
          <w:docGrid w:linePitch="272"/>
        </w:sectPr>
      </w:pPr>
      <w:r>
        <w:rPr>
          <w:noProof/>
        </w:rPr>
        <w:pict>
          <v:shapetype id="_x0000_t202" coordsize="21600,21600" o:spt="202" path="m,l,21600r21600,l21600,xe">
            <v:stroke joinstyle="miter"/>
            <v:path gradientshapeok="t" o:connecttype="rect"/>
          </v:shapetype>
          <v:shape id="_x0000_s1048" type="#_x0000_t202" style="position:absolute;margin-left:70.9pt;margin-top:38pt;width:191.1pt;height:23.25pt;z-index:251657728;mso-position-horizontal-relative:page;mso-position-vertical-relative:page" filled="f" stroked="f">
            <v:textbox style="mso-next-textbox:#_x0000_s1048" inset="0,0,0,0">
              <w:txbxContent>
                <w:p w:rsidR="00FE0CD6" w:rsidRDefault="00FE0CD6">
                  <w:pPr>
                    <w:pStyle w:val="Documenttitel"/>
                  </w:pPr>
                  <w:r>
                    <w:t>Notitie</w:t>
                  </w:r>
                </w:p>
              </w:txbxContent>
            </v:textbox>
            <w10:wrap anchorx="page" anchory="page"/>
          </v:shape>
        </w:pict>
      </w:r>
    </w:p>
    <w:tbl>
      <w:tblPr>
        <w:tblW w:w="0" w:type="auto"/>
        <w:tblCellMar>
          <w:left w:w="0" w:type="dxa"/>
        </w:tblCellMar>
        <w:tblLook w:val="01E0"/>
      </w:tblPr>
      <w:tblGrid>
        <w:gridCol w:w="4522"/>
        <w:gridCol w:w="4374"/>
      </w:tblGrid>
      <w:tr w:rsidR="00546536" w:rsidRPr="00FF6992">
        <w:tc>
          <w:tcPr>
            <w:tcW w:w="4522" w:type="dxa"/>
          </w:tcPr>
          <w:p w:rsidR="00546536" w:rsidRDefault="00F85CC6" w:rsidP="004F48A7">
            <w:pPr>
              <w:pStyle w:val="Standaard8regel14insprom"/>
              <w:tabs>
                <w:tab w:val="clear" w:pos="1531"/>
                <w:tab w:val="left" w:pos="1276"/>
              </w:tabs>
              <w:ind w:left="1276" w:hanging="1276"/>
              <w:rPr>
                <w:b/>
                <w:bCs/>
              </w:rPr>
            </w:pPr>
            <w:r w:rsidRPr="00FF6992">
              <w:rPr>
                <w:b/>
                <w:bCs/>
                <w:szCs w:val="16"/>
              </w:rPr>
              <w:lastRenderedPageBreak/>
              <w:t>Aan</w:t>
            </w:r>
            <w:r w:rsidR="00FF6992" w:rsidRPr="00FF6992">
              <w:rPr>
                <w:b/>
                <w:bCs/>
                <w:szCs w:val="16"/>
              </w:rPr>
              <w:t>:</w:t>
            </w:r>
            <w:r w:rsidRPr="00FF6992">
              <w:rPr>
                <w:bCs/>
                <w:szCs w:val="16"/>
              </w:rPr>
              <w:t xml:space="preserve"> </w:t>
            </w:r>
            <w:r w:rsidR="004F48A7">
              <w:rPr>
                <w:bCs/>
                <w:szCs w:val="16"/>
              </w:rPr>
              <w:t xml:space="preserve">              </w:t>
            </w:r>
            <w:r w:rsidR="00FF6992">
              <w:rPr>
                <w:bCs/>
                <w:szCs w:val="16"/>
              </w:rPr>
              <w:t>D</w:t>
            </w:r>
            <w:r w:rsidRPr="00FF6992">
              <w:rPr>
                <w:bCs/>
                <w:szCs w:val="16"/>
              </w:rPr>
              <w:t>e leden van de Vast</w:t>
            </w:r>
            <w:r w:rsidR="00FF6992">
              <w:rPr>
                <w:bCs/>
                <w:szCs w:val="16"/>
              </w:rPr>
              <w:t>e</w:t>
            </w:r>
            <w:r w:rsidR="004F48A7">
              <w:rPr>
                <w:bCs/>
                <w:szCs w:val="16"/>
              </w:rPr>
              <w:t xml:space="preserve"> </w:t>
            </w:r>
            <w:r w:rsidR="00D3762A" w:rsidRPr="00FF6992">
              <w:rPr>
                <w:bCs/>
                <w:szCs w:val="16"/>
              </w:rPr>
              <w:t>Kamer</w:t>
            </w:r>
            <w:r w:rsidRPr="00FF6992">
              <w:rPr>
                <w:bCs/>
                <w:szCs w:val="16"/>
              </w:rPr>
              <w:t>commissie voor Justitie</w:t>
            </w:r>
            <w:r>
              <w:rPr>
                <w:b/>
                <w:bCs/>
              </w:rPr>
              <w:t xml:space="preserve"> </w:t>
            </w:r>
          </w:p>
          <w:p w:rsidR="00FF6992" w:rsidRDefault="00FF6992" w:rsidP="00FF6992">
            <w:pPr>
              <w:pStyle w:val="Standaard8regel14insprom"/>
            </w:pPr>
            <w:bookmarkStart w:id="0" w:name="blwLabeldatum"/>
            <w:r w:rsidRPr="000714B6">
              <w:rPr>
                <w:b/>
                <w:bCs/>
              </w:rPr>
              <w:t>Datu</w:t>
            </w:r>
            <w:bookmarkEnd w:id="0"/>
            <w:r>
              <w:rPr>
                <w:b/>
                <w:bCs/>
              </w:rPr>
              <w:t>m</w:t>
            </w:r>
            <w:r w:rsidRPr="000714B6">
              <w:t xml:space="preserve"> </w:t>
            </w:r>
            <w:r>
              <w:t xml:space="preserve">           2</w:t>
            </w:r>
            <w:r w:rsidR="006D71B2">
              <w:t>1</w:t>
            </w:r>
            <w:r>
              <w:t xml:space="preserve"> oktober 2010</w:t>
            </w:r>
          </w:p>
          <w:p w:rsidR="00FF6992" w:rsidRDefault="00FF6992" w:rsidP="00FF6992">
            <w:pPr>
              <w:pStyle w:val="Standaard8regel14insprom"/>
              <w:tabs>
                <w:tab w:val="clear" w:pos="1531"/>
                <w:tab w:val="left" w:pos="1276"/>
              </w:tabs>
              <w:rPr>
                <w:bCs/>
              </w:rPr>
            </w:pPr>
            <w:r>
              <w:rPr>
                <w:b/>
                <w:bCs/>
              </w:rPr>
              <w:t xml:space="preserve">Onderwerp    </w:t>
            </w:r>
            <w:r w:rsidRPr="00FF6992">
              <w:rPr>
                <w:bCs/>
              </w:rPr>
              <w:t xml:space="preserve">Reactie VGN op </w:t>
            </w:r>
            <w:r>
              <w:rPr>
                <w:bCs/>
              </w:rPr>
              <w:t>wetsvoorstel</w:t>
            </w:r>
          </w:p>
          <w:p w:rsidR="00FF6992" w:rsidRPr="000714B6" w:rsidRDefault="00FF6992" w:rsidP="00FE0CD6">
            <w:pPr>
              <w:pStyle w:val="Standaard8regel14insprom"/>
              <w:tabs>
                <w:tab w:val="clear" w:pos="1531"/>
                <w:tab w:val="left" w:pos="1276"/>
              </w:tabs>
              <w:ind w:left="1276" w:hanging="1276"/>
            </w:pPr>
            <w:r>
              <w:rPr>
                <w:b/>
                <w:bCs/>
              </w:rPr>
              <w:t xml:space="preserve">                       </w:t>
            </w:r>
            <w:r w:rsidRPr="00FF6992">
              <w:rPr>
                <w:bCs/>
              </w:rPr>
              <w:t>forensische zorg (TK</w:t>
            </w:r>
            <w:r w:rsidR="00034CB8">
              <w:rPr>
                <w:bCs/>
              </w:rPr>
              <w:t xml:space="preserve"> </w:t>
            </w:r>
            <w:r w:rsidRPr="00FF6992">
              <w:rPr>
                <w:bCs/>
              </w:rPr>
              <w:t>32398)</w:t>
            </w:r>
          </w:p>
        </w:tc>
        <w:tc>
          <w:tcPr>
            <w:tcW w:w="4374" w:type="dxa"/>
          </w:tcPr>
          <w:p w:rsidR="00546536" w:rsidRDefault="00FF6992" w:rsidP="00FF6992">
            <w:pPr>
              <w:pStyle w:val="Standaard8regel14insprom"/>
            </w:pPr>
            <w:r w:rsidRPr="000714B6">
              <w:rPr>
                <w:b/>
                <w:bCs/>
              </w:rPr>
              <w:t>Ons kenmerk</w:t>
            </w:r>
            <w:r>
              <w:t xml:space="preserve">      </w:t>
            </w:r>
            <w:r w:rsidR="002A2140">
              <w:t>Bij</w:t>
            </w:r>
            <w:r w:rsidR="00A77693">
              <w:t>19102010S</w:t>
            </w:r>
            <w:r>
              <w:t>A</w:t>
            </w:r>
          </w:p>
          <w:p w:rsidR="00FF6992" w:rsidRDefault="00FF6992" w:rsidP="00FF6992">
            <w:pPr>
              <w:pStyle w:val="Standaard8regel14insprom"/>
              <w:rPr>
                <w:bCs/>
              </w:rPr>
            </w:pPr>
            <w:r w:rsidRPr="007778FE">
              <w:rPr>
                <w:b/>
                <w:bCs/>
              </w:rPr>
              <w:t>Contact</w:t>
            </w:r>
            <w:r>
              <w:rPr>
                <w:b/>
                <w:bCs/>
              </w:rPr>
              <w:t xml:space="preserve">               </w:t>
            </w:r>
            <w:r w:rsidRPr="00DE1253">
              <w:rPr>
                <w:bCs/>
              </w:rPr>
              <w:t>mw mr</w:t>
            </w:r>
            <w:r>
              <w:rPr>
                <w:bCs/>
              </w:rPr>
              <w:t>.</w:t>
            </w:r>
            <w:r w:rsidRPr="00DE1253">
              <w:rPr>
                <w:bCs/>
              </w:rPr>
              <w:t xml:space="preserve"> T. (Tineke) H.C. Donga</w:t>
            </w:r>
          </w:p>
          <w:p w:rsidR="00FF6992" w:rsidRPr="00FF6992" w:rsidRDefault="00FF6992" w:rsidP="00FF6992">
            <w:pPr>
              <w:pStyle w:val="Standaard8regel14insprom"/>
              <w:rPr>
                <w:b/>
                <w:bCs/>
                <w:lang w:val="en-GB"/>
              </w:rPr>
            </w:pPr>
            <w:r w:rsidRPr="00FF6992">
              <w:rPr>
                <w:b/>
                <w:bCs/>
                <w:lang w:val="en-GB"/>
              </w:rPr>
              <w:t xml:space="preserve">E-mail                 </w:t>
            </w:r>
            <w:r w:rsidRPr="006D71B2">
              <w:rPr>
                <w:bCs/>
                <w:lang w:val="en-GB"/>
              </w:rPr>
              <w:t>tdonga@vgn.nl</w:t>
            </w:r>
          </w:p>
          <w:p w:rsidR="00FF6992" w:rsidRPr="00FF6992" w:rsidRDefault="00FF6992" w:rsidP="00FF6992">
            <w:pPr>
              <w:pStyle w:val="Standaard8regel14insprom"/>
              <w:rPr>
                <w:b/>
                <w:bCs/>
                <w:lang w:val="en-GB"/>
              </w:rPr>
            </w:pPr>
            <w:proofErr w:type="spellStart"/>
            <w:r w:rsidRPr="00FF6992">
              <w:rPr>
                <w:b/>
                <w:bCs/>
                <w:lang w:val="en-GB"/>
              </w:rPr>
              <w:t>Telefoon</w:t>
            </w:r>
            <w:proofErr w:type="spellEnd"/>
            <w:r w:rsidRPr="00FF6992">
              <w:rPr>
                <w:b/>
                <w:bCs/>
                <w:lang w:val="en-GB"/>
              </w:rPr>
              <w:t xml:space="preserve">             </w:t>
            </w:r>
            <w:r w:rsidRPr="00FF6992">
              <w:rPr>
                <w:bCs/>
                <w:lang w:val="en-GB"/>
              </w:rPr>
              <w:t>030-27 39 624</w:t>
            </w:r>
          </w:p>
        </w:tc>
      </w:tr>
      <w:tr w:rsidR="00546536" w:rsidRPr="00A70814">
        <w:tc>
          <w:tcPr>
            <w:tcW w:w="4522" w:type="dxa"/>
          </w:tcPr>
          <w:p w:rsidR="00FF6992" w:rsidRPr="000714B6" w:rsidRDefault="00FF6992" w:rsidP="00FF6992">
            <w:pPr>
              <w:pStyle w:val="Standaard8regel14insprom"/>
              <w:rPr>
                <w:b/>
                <w:bCs/>
              </w:rPr>
            </w:pPr>
          </w:p>
        </w:tc>
        <w:tc>
          <w:tcPr>
            <w:tcW w:w="4374" w:type="dxa"/>
          </w:tcPr>
          <w:p w:rsidR="00546536" w:rsidRDefault="00546536" w:rsidP="00FF6992">
            <w:pPr>
              <w:pStyle w:val="Standaard8regel14insprom"/>
              <w:rPr>
                <w:b/>
                <w:bCs/>
              </w:rPr>
            </w:pPr>
          </w:p>
          <w:p w:rsidR="00FF6992" w:rsidRPr="00A70814" w:rsidRDefault="00FF6992" w:rsidP="00FF6992">
            <w:pPr>
              <w:pStyle w:val="Standaard8regel14insprom"/>
              <w:rPr>
                <w:b/>
                <w:bCs/>
              </w:rPr>
            </w:pPr>
            <w:r w:rsidRPr="000714B6">
              <w:tab/>
            </w:r>
          </w:p>
        </w:tc>
      </w:tr>
      <w:tr w:rsidR="00546536" w:rsidRPr="00C74B5A">
        <w:tc>
          <w:tcPr>
            <w:tcW w:w="4522" w:type="dxa"/>
          </w:tcPr>
          <w:p w:rsidR="00546536" w:rsidRPr="000714B6" w:rsidRDefault="00546536" w:rsidP="00FF6992">
            <w:pPr>
              <w:pStyle w:val="Standaard8regel14insprom"/>
              <w:tabs>
                <w:tab w:val="clear" w:pos="1531"/>
                <w:tab w:val="left" w:pos="1276"/>
              </w:tabs>
              <w:ind w:left="1276" w:hanging="1276"/>
              <w:rPr>
                <w:b/>
                <w:bCs/>
              </w:rPr>
            </w:pPr>
            <w:r w:rsidRPr="000714B6">
              <w:rPr>
                <w:b/>
                <w:bCs/>
              </w:rPr>
              <w:tab/>
            </w:r>
          </w:p>
        </w:tc>
        <w:tc>
          <w:tcPr>
            <w:tcW w:w="4374" w:type="dxa"/>
          </w:tcPr>
          <w:p w:rsidR="00546536" w:rsidRPr="00022858" w:rsidRDefault="00546536" w:rsidP="00FF6992">
            <w:pPr>
              <w:pStyle w:val="Standaard8regel14insprom"/>
              <w:rPr>
                <w:bCs/>
                <w:lang w:val="en-GB"/>
              </w:rPr>
            </w:pPr>
            <w:r w:rsidRPr="007778FE">
              <w:rPr>
                <w:b/>
                <w:bCs/>
              </w:rPr>
              <w:tab/>
            </w:r>
            <w:r w:rsidR="00DE1253">
              <w:rPr>
                <w:b/>
                <w:bCs/>
              </w:rPr>
              <w:t xml:space="preserve"> </w:t>
            </w:r>
          </w:p>
        </w:tc>
      </w:tr>
      <w:tr w:rsidR="00367A1A" w:rsidRPr="00BA1CBB" w:rsidTr="00367A1A">
        <w:tc>
          <w:tcPr>
            <w:tcW w:w="4522" w:type="dxa"/>
          </w:tcPr>
          <w:p w:rsidR="00367A1A" w:rsidRPr="00D50141" w:rsidRDefault="00367A1A" w:rsidP="00FF6992">
            <w:pPr>
              <w:pStyle w:val="Standaard8regel14insprom"/>
              <w:rPr>
                <w:b/>
                <w:bCs/>
                <w:lang w:val="en-GB"/>
              </w:rPr>
            </w:pPr>
            <w:bookmarkStart w:id="1" w:name="Voorleggertekst"/>
            <w:bookmarkStart w:id="2" w:name="blwVoorleggertekst"/>
            <w:bookmarkEnd w:id="1"/>
            <w:bookmarkEnd w:id="2"/>
          </w:p>
        </w:tc>
        <w:tc>
          <w:tcPr>
            <w:tcW w:w="4374" w:type="dxa"/>
          </w:tcPr>
          <w:p w:rsidR="00367A1A" w:rsidRPr="00DB1130" w:rsidRDefault="00367A1A" w:rsidP="00FF6992">
            <w:pPr>
              <w:pStyle w:val="Standaard8regel14insprom"/>
              <w:rPr>
                <w:b/>
                <w:bCs/>
              </w:rPr>
            </w:pPr>
          </w:p>
        </w:tc>
      </w:tr>
    </w:tbl>
    <w:p w:rsidR="002521C4" w:rsidRDefault="00F85CC6" w:rsidP="00FF6992">
      <w:pPr>
        <w:pStyle w:val="Geenafstand"/>
        <w:spacing w:line="280" w:lineRule="atLeast"/>
      </w:pPr>
      <w:r>
        <w:t xml:space="preserve">Voor de schriftelijke inbreng </w:t>
      </w:r>
      <w:r w:rsidR="00D3762A">
        <w:t xml:space="preserve">bij het Wetsvoorstel forensische zorg  (Wfz) </w:t>
      </w:r>
      <w:r>
        <w:t>van uw commissie op 28 oktober wil de VGN onderstaande specifieke vraagpunten onder uw aandacht brengen</w:t>
      </w:r>
      <w:r w:rsidR="002521C4">
        <w:t>.</w:t>
      </w:r>
    </w:p>
    <w:p w:rsidR="002521C4" w:rsidRDefault="002521C4" w:rsidP="00FF6992">
      <w:pPr>
        <w:pStyle w:val="Geenafstand"/>
        <w:spacing w:line="280" w:lineRule="atLeast"/>
      </w:pPr>
    </w:p>
    <w:p w:rsidR="00F85CC6" w:rsidRDefault="002521C4" w:rsidP="00FF6992">
      <w:pPr>
        <w:ind w:right="-629"/>
        <w:rPr>
          <w:b/>
          <w:i/>
        </w:rPr>
      </w:pPr>
      <w:r w:rsidRPr="00864AF8">
        <w:rPr>
          <w:b/>
        </w:rPr>
        <w:t>1.</w:t>
      </w:r>
      <w:r w:rsidR="00F85CC6" w:rsidRPr="00864AF8">
        <w:rPr>
          <w:b/>
        </w:rPr>
        <w:t xml:space="preserve"> </w:t>
      </w:r>
      <w:r w:rsidRPr="00864AF8">
        <w:rPr>
          <w:b/>
          <w:i/>
        </w:rPr>
        <w:t>Geen (heldere) verbinding met wet zorg en dwang: rechtspositie patiënt met verstandelijke beperking is onduidelijk.</w:t>
      </w:r>
    </w:p>
    <w:p w:rsidR="004C15B0" w:rsidRDefault="004C15B0" w:rsidP="00FF6992">
      <w:pPr>
        <w:ind w:right="-629"/>
      </w:pPr>
    </w:p>
    <w:p w:rsidR="00F85CC6" w:rsidRDefault="00F85CC6" w:rsidP="00FF6992">
      <w:pPr>
        <w:ind w:right="-629"/>
      </w:pPr>
      <w:r w:rsidRPr="000D2A43">
        <w:t xml:space="preserve">Voor medewerkers in de </w:t>
      </w:r>
      <w:r>
        <w:t>(gehandicapten-)</w:t>
      </w:r>
      <w:r w:rsidRPr="000D2A43">
        <w:t xml:space="preserve"> zorg is het wenselijk dat zij zoveel als mogelijk met één </w:t>
      </w:r>
      <w:r>
        <w:t xml:space="preserve">wet en </w:t>
      </w:r>
      <w:r w:rsidRPr="000D2A43">
        <w:t>één</w:t>
      </w:r>
      <w:r>
        <w:t xml:space="preserve"> </w:t>
      </w:r>
      <w:r w:rsidRPr="000D2A43">
        <w:t xml:space="preserve">rechtspositie voor hun cliënten te maken krijgen/hebben. </w:t>
      </w:r>
      <w:r>
        <w:t>Het w</w:t>
      </w:r>
      <w:r w:rsidRPr="000D2A43">
        <w:t xml:space="preserve">etsvoorstel </w:t>
      </w:r>
      <w:r>
        <w:t>z</w:t>
      </w:r>
      <w:r w:rsidRPr="000D2A43">
        <w:t xml:space="preserve">org en </w:t>
      </w:r>
      <w:r>
        <w:t>d</w:t>
      </w:r>
      <w:r w:rsidRPr="000D2A43">
        <w:t xml:space="preserve">wang </w:t>
      </w:r>
      <w:r>
        <w:t>is op dit moment ook aanhangig bij uw Kamer</w:t>
      </w:r>
      <w:r w:rsidRPr="000D2A43">
        <w:t xml:space="preserve">. </w:t>
      </w:r>
      <w:r>
        <w:t xml:space="preserve">Dit </w:t>
      </w:r>
      <w:r w:rsidRPr="000D2A43">
        <w:t xml:space="preserve">wetsvoorstel </w:t>
      </w:r>
      <w:r>
        <w:t xml:space="preserve">is </w:t>
      </w:r>
      <w:r w:rsidRPr="000D2A43">
        <w:t>speciaal ontwikkeld voor de gehandicaptensector en de psychogeriatrische sector.</w:t>
      </w:r>
      <w:r w:rsidRPr="00DC72B2">
        <w:t xml:space="preserve"> </w:t>
      </w:r>
      <w:r w:rsidRPr="000D2A43">
        <w:t>Dit betekent dat</w:t>
      </w:r>
      <w:r>
        <w:t>,</w:t>
      </w:r>
      <w:r w:rsidRPr="000D2A43">
        <w:t xml:space="preserve"> </w:t>
      </w:r>
      <w:r>
        <w:t xml:space="preserve">na invoering van de Wet zorg en dwang, </w:t>
      </w:r>
      <w:r w:rsidRPr="000D2A43">
        <w:t>op cliënten met een verstandelijke beperking een andere wet met andere mogelijkheden, voorwaarden etc. van toepassing zal zijn, dan op cliënten met een psychische stoornis</w:t>
      </w:r>
      <w:r w:rsidR="00002759">
        <w:t xml:space="preserve">. Voor </w:t>
      </w:r>
      <w:r>
        <w:t xml:space="preserve">hen is inmiddels de wet verplichte GGZ bij uw kamer ingediend die de Wet </w:t>
      </w:r>
      <w:proofErr w:type="spellStart"/>
      <w:r>
        <w:t>Bopz</w:t>
      </w:r>
      <w:proofErr w:type="spellEnd"/>
      <w:r>
        <w:t xml:space="preserve"> zal vervangen</w:t>
      </w:r>
      <w:r w:rsidR="00002759">
        <w:t>.</w:t>
      </w:r>
      <w:r w:rsidRPr="000D2A43">
        <w:t xml:space="preserve"> Inhoudelijk</w:t>
      </w:r>
      <w:r>
        <w:t xml:space="preserve">, zo blijkt uit de praktijk, </w:t>
      </w:r>
      <w:r w:rsidRPr="000D2A43">
        <w:t xml:space="preserve">is er weinig verschil in de problematiek en de behandeling en begeleiding van de forensische cliënt met een verstandelijke beperking en de niet forensische cliënt met een verstandelijke beperking. Hieruit vloeit voort dat </w:t>
      </w:r>
      <w:r>
        <w:t>óó</w:t>
      </w:r>
      <w:r w:rsidRPr="000D2A43">
        <w:t xml:space="preserve">k op de forensische cliënt met een verstandelijke beperking de Wet zorg en dwang (na inwerkingtreding) van toepassing zou moeten zijn. </w:t>
      </w:r>
      <w:r>
        <w:t>Het is onduidelijk of het wetsvoorstel daar nu (in voldoende mate) in voorziet. Het lijkt er nu op dat het mogelijk kan zijn dat een forensische cliënt met een verstandelijke beperking</w:t>
      </w:r>
      <w:r w:rsidRPr="000D2A43">
        <w:t xml:space="preserve"> </w:t>
      </w:r>
      <w:r>
        <w:t xml:space="preserve">wordt opgenomen in een instelling voor gehandicaptenzorg waar voor wat de rechtspositie van de cliënt betreft, de wet verplichte ggz van toepassing is in plaats van de wet zorg en dwang. </w:t>
      </w:r>
      <w:r w:rsidRPr="000D2A43">
        <w:t xml:space="preserve">Dit </w:t>
      </w:r>
      <w:r>
        <w:t>zou v</w:t>
      </w:r>
      <w:r w:rsidRPr="000D2A43">
        <w:t xml:space="preserve">oor de cliënt </w:t>
      </w:r>
      <w:r>
        <w:t xml:space="preserve">betekenen </w:t>
      </w:r>
      <w:r w:rsidRPr="000D2A43">
        <w:t xml:space="preserve">dat hij niet de behandeling en begeleiding krijgt </w:t>
      </w:r>
      <w:r w:rsidR="00F47743">
        <w:t>die</w:t>
      </w:r>
      <w:r w:rsidRPr="000D2A43">
        <w:t xml:space="preserve"> hij </w:t>
      </w:r>
      <w:r w:rsidR="00F47743">
        <w:t>nodig</w:t>
      </w:r>
      <w:r w:rsidRPr="000D2A43">
        <w:t xml:space="preserve"> heeft en dat medewerkers zullen moeten werken met meerdere </w:t>
      </w:r>
      <w:r>
        <w:t xml:space="preserve">wetten en </w:t>
      </w:r>
      <w:r w:rsidRPr="000D2A43">
        <w:t xml:space="preserve">rechtsposities. </w:t>
      </w:r>
      <w:r w:rsidR="002521C4">
        <w:t>Wij verzoeken u de regering te vragen:</w:t>
      </w:r>
    </w:p>
    <w:p w:rsidR="002521C4" w:rsidRDefault="002521C4" w:rsidP="00FF6992">
      <w:pPr>
        <w:ind w:right="-629"/>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521C4" w:rsidTr="00FF6992">
        <w:trPr>
          <w:trHeight w:val="1035"/>
        </w:trPr>
        <w:tc>
          <w:tcPr>
            <w:tcW w:w="9356" w:type="dxa"/>
          </w:tcPr>
          <w:p w:rsidR="00FF6992" w:rsidRDefault="00864AF8" w:rsidP="00FF6992">
            <w:pPr>
              <w:ind w:right="-629"/>
            </w:pPr>
            <w:r>
              <w:t>1a.</w:t>
            </w:r>
            <w:r w:rsidR="00165D7B">
              <w:t xml:space="preserve"> </w:t>
            </w:r>
            <w:r>
              <w:t>H</w:t>
            </w:r>
            <w:r w:rsidR="002521C4">
              <w:t xml:space="preserve">elderheid te verschaffen over de rechtspositie van forensische cliënten die in een gehandicaptenzorginstelling verblijven en te bewerkstelligen </w:t>
            </w:r>
            <w:r w:rsidR="00FF6992">
              <w:t xml:space="preserve">dat altijd de wet zorg en </w:t>
            </w:r>
          </w:p>
          <w:p w:rsidR="00FF6992" w:rsidRDefault="00FF6992" w:rsidP="00FF6992">
            <w:pPr>
              <w:ind w:right="-629"/>
            </w:pPr>
            <w:r>
              <w:t xml:space="preserve">dwang </w:t>
            </w:r>
            <w:r w:rsidR="002521C4">
              <w:t xml:space="preserve">van toepassing is op de forensische cliënt die in een instelling voor </w:t>
            </w:r>
          </w:p>
          <w:p w:rsidR="002521C4" w:rsidRDefault="002521C4" w:rsidP="00FF6992">
            <w:pPr>
              <w:ind w:right="-629"/>
            </w:pPr>
            <w:r>
              <w:t>gehandicaptenzorg verblijft.</w:t>
            </w:r>
          </w:p>
        </w:tc>
      </w:tr>
    </w:tbl>
    <w:p w:rsidR="00FF6992" w:rsidRDefault="00FF6992" w:rsidP="00FF6992">
      <w:pPr>
        <w:pStyle w:val="Geenafstand"/>
        <w:spacing w:line="280" w:lineRule="atLeas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521C4" w:rsidTr="00FF6992">
        <w:tc>
          <w:tcPr>
            <w:tcW w:w="9356" w:type="dxa"/>
          </w:tcPr>
          <w:p w:rsidR="002521C4" w:rsidRDefault="002521C4" w:rsidP="00FF6992">
            <w:pPr>
              <w:pStyle w:val="Geenafstand"/>
              <w:spacing w:line="280" w:lineRule="atLeast"/>
            </w:pPr>
            <w:r>
              <w:t>1b. Indien daarvoor nog nieuwe (schakel)bepalingen nodig zijn dan dienen die uiteraard te worden ingevoegd.</w:t>
            </w:r>
          </w:p>
        </w:tc>
      </w:tr>
      <w:tr w:rsidR="00864AF8" w:rsidTr="00FF6992">
        <w:tc>
          <w:tcPr>
            <w:tcW w:w="9356" w:type="dxa"/>
          </w:tcPr>
          <w:p w:rsidR="00864AF8" w:rsidRDefault="00864AF8" w:rsidP="00FF6992">
            <w:pPr>
              <w:pStyle w:val="Geenafstand"/>
              <w:spacing w:line="280" w:lineRule="atLeast"/>
            </w:pPr>
            <w:r>
              <w:lastRenderedPageBreak/>
              <w:t>1c. In paragraaf 6 van de memorie van toelichting ook de wet zorg en dwang mee te nemen in de bespreking van de samenhang tussen het wetsvoorstel forensische zor</w:t>
            </w:r>
            <w:r w:rsidR="00215D3C">
              <w:t>g en het wetsvoorstel verplicht</w:t>
            </w:r>
            <w:r>
              <w:t>e geestelijke gezondheidszorg. Nu ontbreekt -in de gehele memorie van toelichting- een verwijzing naar en bespreking van het wetsvoorstel zorg en dwang.</w:t>
            </w:r>
          </w:p>
        </w:tc>
      </w:tr>
    </w:tbl>
    <w:p w:rsidR="002521C4" w:rsidRDefault="002521C4" w:rsidP="00FF6992">
      <w:pPr>
        <w:pStyle w:val="Geenafstand"/>
        <w:spacing w:line="280" w:lineRule="atLeast"/>
      </w:pPr>
    </w:p>
    <w:p w:rsidR="00864AF8" w:rsidRDefault="00864AF8" w:rsidP="00FF6992">
      <w:pPr>
        <w:rPr>
          <w:i/>
        </w:rPr>
      </w:pPr>
      <w:r w:rsidRPr="007F335E">
        <w:rPr>
          <w:i/>
        </w:rPr>
        <w:t>Artikel 2.3</w:t>
      </w:r>
      <w:r w:rsidR="00881FD8">
        <w:rPr>
          <w:i/>
        </w:rPr>
        <w:t xml:space="preserve"> en artikel 7.5</w:t>
      </w:r>
      <w:r>
        <w:rPr>
          <w:i/>
        </w:rPr>
        <w:t>:</w:t>
      </w:r>
    </w:p>
    <w:p w:rsidR="00864AF8" w:rsidRDefault="00864AF8" w:rsidP="00FF6992">
      <w:r>
        <w:t xml:space="preserve">Deze artikelen die samenhangen zijn onduidelijk en er zijn omissies. In artikel 2.3. worden de situaties beschreven waarbij de rechter toepassing kan geven aan de zorgmachtiging van het gewijzigde artikel 37 van het wetboek van strafrecht (Sr). In artikel 7.5 wordt bepaald dat indien het wetsvoorstel zorg en dwang tot wet wordt verheven, artikel 37 zodanig wordt gewijzigd dat indien de rechter geen forensische zorg oplegt, hij toepassing kan geven aan de Wet verplichte ggz </w:t>
      </w:r>
      <w:r w:rsidRPr="002C45B5">
        <w:t>en</w:t>
      </w:r>
      <w:r>
        <w:t xml:space="preserve"> de Wet zorg en dwang. Bij de artikelsgewijze toelichting </w:t>
      </w:r>
      <w:r w:rsidR="00533729">
        <w:t>op pagina 57</w:t>
      </w:r>
      <w:r>
        <w:t xml:space="preserve"> voor de</w:t>
      </w:r>
      <w:r w:rsidR="00533729">
        <w:t xml:space="preserve"> inhoudelijke</w:t>
      </w:r>
      <w:r w:rsidR="004C15B0">
        <w:t xml:space="preserve"> </w:t>
      </w:r>
      <w:r>
        <w:t>toelichting van artikel 7.5 wordt verwezen naar paragraaf 6 (</w:t>
      </w:r>
      <w:r w:rsidRPr="00E83FA7">
        <w:t>Samenhang met Wet Bopz en wetsvoorstel verplichte ggz)</w:t>
      </w:r>
      <w:r>
        <w:t xml:space="preserve"> van de memorie van toelichting en naar paragraaf 13. In paragraaf 6 wordt echter, zoals eerder geconstateerd, niets gemeld over de wet zorg en dwang. Er wordt slechts ingegaan op de verbinding met het wetsvoorstel verplichte ggz.</w:t>
      </w:r>
    </w:p>
    <w:p w:rsidR="00864AF8" w:rsidRDefault="00864AF8" w:rsidP="00FF6992">
      <w:pPr>
        <w:pStyle w:val="Geenafstand"/>
        <w:spacing w:line="280" w:lineRule="atLeas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864AF8" w:rsidTr="00FF6992">
        <w:tc>
          <w:tcPr>
            <w:tcW w:w="9356" w:type="dxa"/>
          </w:tcPr>
          <w:p w:rsidR="00864AF8" w:rsidRDefault="00864AF8" w:rsidP="00FF6992">
            <w:pPr>
              <w:pStyle w:val="Geenafstand"/>
              <w:spacing w:line="280" w:lineRule="atLeast"/>
            </w:pPr>
            <w:r>
              <w:t>1d</w:t>
            </w:r>
            <w:r w:rsidR="00DC02A6">
              <w:t>.</w:t>
            </w:r>
            <w:r>
              <w:t xml:space="preserve"> </w:t>
            </w:r>
            <w:r w:rsidR="002D4946">
              <w:t>bij artikel 7.5.</w:t>
            </w:r>
            <w:r>
              <w:t>is de vraag of hier niet het woordje ‘of’ moet staan: dus óf toepassing geven aan de Wet verplichte ggz óf toepassing geven aan de Wet zorg en dwang.</w:t>
            </w:r>
          </w:p>
        </w:tc>
      </w:tr>
    </w:tbl>
    <w:p w:rsidR="002521C4" w:rsidRDefault="002521C4" w:rsidP="00FF6992">
      <w:pPr>
        <w:pStyle w:val="Geenafstand"/>
        <w:spacing w:line="280" w:lineRule="atLeast"/>
      </w:pPr>
    </w:p>
    <w:p w:rsidR="00864AF8" w:rsidRPr="00864AF8" w:rsidRDefault="00864AF8" w:rsidP="00FF6992">
      <w:pPr>
        <w:pStyle w:val="Geenafstand"/>
        <w:spacing w:line="280" w:lineRule="atLeast"/>
        <w:rPr>
          <w:i/>
        </w:rPr>
      </w:pPr>
      <w:r w:rsidRPr="00864AF8">
        <w:rPr>
          <w:i/>
        </w:rPr>
        <w:t xml:space="preserve">Artikel 7.4 </w:t>
      </w:r>
    </w:p>
    <w:p w:rsidR="002521C4" w:rsidRDefault="00864AF8" w:rsidP="00FF6992">
      <w:r>
        <w:t>De omissie g</w:t>
      </w:r>
      <w:r w:rsidR="002521C4">
        <w:t xml:space="preserve">eldt ook voor de situatie die in paragraaf 6 beschreven staat als een officier van justitie in de nieuwe toekomstige situatie besluit de zaak niet bij de rechter aan </w:t>
      </w:r>
      <w:r w:rsidR="006E28A0">
        <w:t xml:space="preserve">te brengen (artikel 7.4.). Hier </w:t>
      </w:r>
      <w:r w:rsidR="002521C4">
        <w:t xml:space="preserve">wordt niets vermeld over de wet zorg en dwang. In deze omissie zou moeten worden voorzien, want het is van groot belang dat ook </w:t>
      </w:r>
      <w:r w:rsidR="00A85A81">
        <w:t xml:space="preserve">in </w:t>
      </w:r>
      <w:r w:rsidR="002521C4">
        <w:t xml:space="preserve">deze situatie de </w:t>
      </w:r>
      <w:r w:rsidR="006E28A0">
        <w:t xml:space="preserve">samenhang </w:t>
      </w:r>
      <w:r w:rsidR="002521C4">
        <w:t xml:space="preserve">met het wetsvoorstel zorg en dwang duidelijk wordt beschreven. </w:t>
      </w:r>
    </w:p>
    <w:p w:rsidR="00E54FF0" w:rsidRDefault="00E54FF0" w:rsidP="00FF699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E54FF0" w:rsidTr="00FF6992">
        <w:tc>
          <w:tcPr>
            <w:tcW w:w="9356" w:type="dxa"/>
          </w:tcPr>
          <w:p w:rsidR="00E54FF0" w:rsidRDefault="00E54FF0" w:rsidP="00FF6992">
            <w:r>
              <w:t xml:space="preserve">1f. </w:t>
            </w:r>
            <w:r w:rsidR="00D3762A">
              <w:t>A</w:t>
            </w:r>
            <w:r w:rsidR="00B1125F">
              <w:t xml:space="preserve">anpassing van </w:t>
            </w:r>
            <w:r w:rsidR="00DC02A6">
              <w:t xml:space="preserve">artikel 7.4. </w:t>
            </w:r>
            <w:r w:rsidR="00D3762A">
              <w:t>van het wetsvoorstel</w:t>
            </w:r>
            <w:r w:rsidR="00B1125F">
              <w:t xml:space="preserve"> voor de situatie </w:t>
            </w:r>
            <w:r>
              <w:t xml:space="preserve">als </w:t>
            </w:r>
            <w:r w:rsidR="00B1125F">
              <w:t xml:space="preserve">de OvJ de zaak niet aan de rechter voorlegt </w:t>
            </w:r>
            <w:r w:rsidR="00DC02A6">
              <w:t xml:space="preserve">zodat </w:t>
            </w:r>
            <w:r w:rsidR="00B1125F">
              <w:t>de wet zorg en dwang</w:t>
            </w:r>
            <w:r w:rsidR="00DC02A6">
              <w:t xml:space="preserve"> van toepassing is.</w:t>
            </w:r>
          </w:p>
        </w:tc>
      </w:tr>
    </w:tbl>
    <w:p w:rsidR="002521C4" w:rsidRDefault="002521C4" w:rsidP="00FF6992"/>
    <w:p w:rsidR="002521C4" w:rsidRPr="00675EDD" w:rsidRDefault="00881FD8" w:rsidP="00FF6992">
      <w:pPr>
        <w:rPr>
          <w:b/>
          <w:i/>
        </w:rPr>
      </w:pPr>
      <w:r w:rsidRPr="00675EDD">
        <w:rPr>
          <w:b/>
          <w:i/>
        </w:rPr>
        <w:t>2. Zorg</w:t>
      </w:r>
      <w:r w:rsidR="00ED47F2" w:rsidRPr="00675EDD">
        <w:rPr>
          <w:b/>
          <w:i/>
        </w:rPr>
        <w:t>continuïteit</w:t>
      </w:r>
    </w:p>
    <w:p w:rsidR="00FF6992" w:rsidRDefault="00881FD8" w:rsidP="00FF6992">
      <w:r w:rsidRPr="00275768">
        <w:t>De VGN onderschrijft in het algemeen de doelstelling van het wetsvoorstel om tussen de forensische zorg en de reguliere zorg meer eenheid en samenhang te bewerkstelligen.</w:t>
      </w:r>
      <w:r>
        <w:t xml:space="preserve"> </w:t>
      </w:r>
      <w:r w:rsidR="009E586B">
        <w:t xml:space="preserve">Voldoende waarborgen voor die zorgcontinuïteit ontbreken echter in de Wfz. </w:t>
      </w:r>
    </w:p>
    <w:p w:rsidR="00C02D1D" w:rsidRDefault="00FF6992" w:rsidP="00FF6992">
      <w:r>
        <w:br w:type="page"/>
      </w:r>
      <w:r w:rsidR="008764F7">
        <w:lastRenderedPageBreak/>
        <w:t xml:space="preserve">Voor onze doelgroep cliënten met een lichte verstandelijke beperking </w:t>
      </w:r>
      <w:r w:rsidR="00EA2827">
        <w:t xml:space="preserve">al dan niet gepaard gaande met </w:t>
      </w:r>
      <w:r w:rsidR="008764F7">
        <w:t xml:space="preserve">(sterke) gedragsstoornissen is het van </w:t>
      </w:r>
      <w:r w:rsidR="009E586B">
        <w:t xml:space="preserve">groot </w:t>
      </w:r>
      <w:r w:rsidR="008764F7">
        <w:t xml:space="preserve">belang dat </w:t>
      </w:r>
      <w:r w:rsidR="009E586B">
        <w:t xml:space="preserve">de zorg doorloopt en </w:t>
      </w:r>
      <w:r w:rsidR="00D3762A">
        <w:t xml:space="preserve">dat zij </w:t>
      </w:r>
      <w:r w:rsidR="009E586B">
        <w:t xml:space="preserve">dus </w:t>
      </w:r>
      <w:r w:rsidR="00EA2827">
        <w:t xml:space="preserve">meteen </w:t>
      </w:r>
      <w:r w:rsidR="008764F7">
        <w:t xml:space="preserve">kunnen doorstromen naar de reguliere zorg na afloop van de </w:t>
      </w:r>
      <w:r w:rsidR="00947B8A">
        <w:t>forensische titel zorg</w:t>
      </w:r>
      <w:r w:rsidR="00FB6BDD">
        <w:t xml:space="preserve">, zodat er een </w:t>
      </w:r>
      <w:r w:rsidR="00947B8A">
        <w:t>zorgcontinuüm is.</w:t>
      </w:r>
      <w:r w:rsidR="00533729">
        <w:t xml:space="preserve"> Uit de Memorie van toelichting onder het kopje </w:t>
      </w:r>
      <w:r w:rsidR="00533729" w:rsidRPr="00533729">
        <w:rPr>
          <w:i/>
        </w:rPr>
        <w:t>Afbakening met de AWBZ</w:t>
      </w:r>
      <w:r w:rsidR="00533729">
        <w:t xml:space="preserve"> (pagina 17) en onder het kopje </w:t>
      </w:r>
      <w:r w:rsidR="00533729" w:rsidRPr="00533729">
        <w:rPr>
          <w:i/>
        </w:rPr>
        <w:t>Reikwijdte van het wetsvoorstel en afbak</w:t>
      </w:r>
      <w:r w:rsidR="00533729">
        <w:rPr>
          <w:i/>
        </w:rPr>
        <w:t>e</w:t>
      </w:r>
      <w:r w:rsidR="00533729" w:rsidRPr="00533729">
        <w:rPr>
          <w:i/>
        </w:rPr>
        <w:t>ning met andere vormen van zorg</w:t>
      </w:r>
      <w:r w:rsidR="00533729">
        <w:t xml:space="preserve"> (pagina 33</w:t>
      </w:r>
      <w:r w:rsidR="00EA2827">
        <w:t xml:space="preserve">) wordt vooral de afbakening </w:t>
      </w:r>
      <w:r w:rsidR="008764F7">
        <w:t>met de AWBZ benadrukt.</w:t>
      </w:r>
      <w:r w:rsidR="00C02D1D">
        <w:t xml:space="preserve"> </w:t>
      </w:r>
      <w:r w:rsidR="00BE4421">
        <w:t xml:space="preserve">Weliswaar is de AWBZ een verzekering van rechtswege, maar </w:t>
      </w:r>
      <w:r w:rsidR="00EA2827">
        <w:t xml:space="preserve">veelal is er aansluitend op de forensische zorg (nog) geen </w:t>
      </w:r>
      <w:r w:rsidR="00BE4421">
        <w:t xml:space="preserve">plaats voor de betrokkene beschikbaar in de reguliere zorg. </w:t>
      </w:r>
      <w:r w:rsidR="00215D3C">
        <w:t xml:space="preserve">Er is dan het risico dat de cliënt op straat komt te staan, omdat er niet direct zorg beschikbaar is. </w:t>
      </w:r>
      <w:r w:rsidR="00B507A7">
        <w:t xml:space="preserve">Het inkoopsysteem in de AWBZ via de zorgkantoren biedt voor </w:t>
      </w:r>
      <w:r w:rsidR="00947B8A">
        <w:t xml:space="preserve">deze problematiek </w:t>
      </w:r>
      <w:r w:rsidR="00B507A7">
        <w:t xml:space="preserve">geen antwoord. </w:t>
      </w:r>
      <w:r w:rsidR="00947B8A">
        <w:t>Wij vinden dat hiervoor een oplossing moet komen onder de Wfz. In d</w:t>
      </w:r>
      <w:r w:rsidR="009E586B">
        <w:t xml:space="preserve">e Wfz </w:t>
      </w:r>
      <w:r w:rsidR="00947B8A">
        <w:t xml:space="preserve">zou bijvoorbeeld </w:t>
      </w:r>
      <w:r w:rsidR="009E586B">
        <w:t>een</w:t>
      </w:r>
      <w:r w:rsidR="00B507A7">
        <w:t xml:space="preserve"> verplichting tot nazorg d</w:t>
      </w:r>
      <w:r w:rsidR="009E586B">
        <w:t>oor de minister</w:t>
      </w:r>
      <w:r w:rsidR="00947B8A">
        <w:t xml:space="preserve"> moeten komen. </w:t>
      </w:r>
      <w:r w:rsidR="00B507A7">
        <w:t>Dit b</w:t>
      </w:r>
      <w:r w:rsidR="009E586B">
        <w:t>ijvoorbeeld doordat de zorgaanbieder een be</w:t>
      </w:r>
      <w:r w:rsidR="00947B8A">
        <w:t>paalde</w:t>
      </w:r>
      <w:r w:rsidR="009E586B">
        <w:t xml:space="preserve"> periode de cliënt </w:t>
      </w:r>
      <w:r w:rsidR="00947B8A">
        <w:t xml:space="preserve">tijdelijk </w:t>
      </w:r>
      <w:r w:rsidR="009E586B">
        <w:t xml:space="preserve">bij zich in zorg houdt en </w:t>
      </w:r>
      <w:r w:rsidR="00B507A7">
        <w:t>door de min</w:t>
      </w:r>
      <w:r w:rsidR="005A78B2">
        <w:t>i</w:t>
      </w:r>
      <w:r w:rsidR="00B507A7">
        <w:t>ster bekostigd wordt</w:t>
      </w:r>
      <w:r w:rsidR="009E586B">
        <w:t xml:space="preserve"> in afwachting van plaatsing in de reguliere zorg. </w:t>
      </w:r>
      <w:r w:rsidR="00947B8A">
        <w:t xml:space="preserve">Nu </w:t>
      </w:r>
      <w:r w:rsidR="00B507A7">
        <w:t xml:space="preserve">is er </w:t>
      </w:r>
      <w:r w:rsidR="00947B8A">
        <w:t xml:space="preserve">feitelijk </w:t>
      </w:r>
      <w:r w:rsidR="00B507A7">
        <w:t>nog steeds een afwenteling van de verantwoordelijkheid</w:t>
      </w:r>
      <w:r w:rsidR="00947B8A">
        <w:t xml:space="preserve"> </w:t>
      </w:r>
      <w:r w:rsidR="00B507A7">
        <w:t xml:space="preserve">voor zorgcontinuïteit op de zorgaanbieder. Deze loopt in de dagelijkse praktijk het financiële risico en/of het gebrek aan mogelijkheden tot (door)plaatsing. </w:t>
      </w:r>
      <w:r w:rsidR="00C02D1D">
        <w:t xml:space="preserve">Wij vinden dat </w:t>
      </w:r>
      <w:r w:rsidR="00B507A7">
        <w:t xml:space="preserve">voor deze problematiek </w:t>
      </w:r>
      <w:r w:rsidR="00947B8A">
        <w:t xml:space="preserve">in ieder geval </w:t>
      </w:r>
      <w:r w:rsidR="00B507A7">
        <w:t xml:space="preserve">een </w:t>
      </w:r>
      <w:r w:rsidR="00C02D1D">
        <w:t>voorziening getroffen moet worden. Immers da</w:t>
      </w:r>
      <w:r w:rsidR="00947B8A">
        <w:t xml:space="preserve">n pas wordt gehandeld </w:t>
      </w:r>
      <w:r w:rsidR="00B96E3E">
        <w:t xml:space="preserve">in lijn met </w:t>
      </w:r>
      <w:r w:rsidR="00C02D1D">
        <w:t xml:space="preserve">de doelstelling en ambitie voor een goede aansluiting tussen </w:t>
      </w:r>
      <w:r w:rsidR="00D3762A">
        <w:t>forensische</w:t>
      </w:r>
      <w:r w:rsidR="00C02D1D">
        <w:t xml:space="preserve"> zorg en reguliere zorg </w:t>
      </w:r>
      <w:r w:rsidR="00B96E3E">
        <w:t>zoals de min</w:t>
      </w:r>
      <w:r w:rsidR="005A78B2">
        <w:t>i</w:t>
      </w:r>
      <w:r w:rsidR="00B96E3E">
        <w:t xml:space="preserve">ster op </w:t>
      </w:r>
      <w:r w:rsidR="00C02D1D">
        <w:t>pagina 3</w:t>
      </w:r>
      <w:r w:rsidR="00B96E3E">
        <w:t xml:space="preserve"> van de memorie beoogt</w:t>
      </w:r>
      <w:r w:rsidR="00D3762A">
        <w:t>.</w:t>
      </w:r>
      <w:r w:rsidR="00C02D1D">
        <w:t xml:space="preserve"> Wij verzoeken u de min</w:t>
      </w:r>
      <w:r w:rsidR="00B96E3E">
        <w:t>i</w:t>
      </w:r>
      <w:r w:rsidR="00C02D1D">
        <w:t xml:space="preserve">ster te vragen: </w:t>
      </w:r>
    </w:p>
    <w:p w:rsidR="00C02D1D" w:rsidRDefault="00C02D1D" w:rsidP="00FF699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C02D1D" w:rsidTr="00A77693">
        <w:tc>
          <w:tcPr>
            <w:tcW w:w="9356" w:type="dxa"/>
          </w:tcPr>
          <w:p w:rsidR="00C02D1D" w:rsidRDefault="00675EDD" w:rsidP="004C15B0">
            <w:r>
              <w:t>2</w:t>
            </w:r>
            <w:r w:rsidR="00B96E3E">
              <w:t xml:space="preserve">. Onder de werking van de Wfz een voorziening te treffen om de continuïteit van zorg te waarborgen in geval van wachtlijstproblematiek op het grensvlak van </w:t>
            </w:r>
            <w:r w:rsidR="00D3762A">
              <w:t>forensische</w:t>
            </w:r>
            <w:r w:rsidR="00B96E3E">
              <w:t xml:space="preserve"> zorg en AWBZ zorg</w:t>
            </w:r>
            <w:r w:rsidR="004C15B0">
              <w:t>.</w:t>
            </w:r>
          </w:p>
        </w:tc>
      </w:tr>
    </w:tbl>
    <w:p w:rsidR="007778FE" w:rsidRDefault="007778FE" w:rsidP="00FF6992"/>
    <w:p w:rsidR="00675EDD" w:rsidRDefault="00675EDD" w:rsidP="00FF6992">
      <w:r w:rsidRPr="00675EDD">
        <w:rPr>
          <w:b/>
          <w:i/>
        </w:rPr>
        <w:t xml:space="preserve">3. </w:t>
      </w:r>
      <w:r w:rsidR="00793F7C">
        <w:rPr>
          <w:b/>
          <w:i/>
        </w:rPr>
        <w:t>Plaatsing: o</w:t>
      </w:r>
      <w:r w:rsidRPr="00675EDD">
        <w:rPr>
          <w:b/>
          <w:i/>
        </w:rPr>
        <w:t>pnameplicht zorgaanbieder en bevoegdheden minister</w:t>
      </w:r>
      <w:r>
        <w:t xml:space="preserve"> </w:t>
      </w:r>
    </w:p>
    <w:p w:rsidR="00A77693" w:rsidRDefault="00793F7C" w:rsidP="00FF6992">
      <w:r>
        <w:t>De minister koopt onder de werking van de Wfz de forensi</w:t>
      </w:r>
      <w:r w:rsidR="00D3762A">
        <w:t>s</w:t>
      </w:r>
      <w:r>
        <w:t xml:space="preserve">che zorg in bij de zorgaanbieders. Naast de zorginkoop gebeurt ook regie van de minister de indicatie en de plaatsing. Terwijl er sprake is van een contractuele relatie tussen zorgaanbieder, regelt de Wfz een absolute </w:t>
      </w:r>
      <w:r w:rsidR="00E3544C">
        <w:t>opname</w:t>
      </w:r>
      <w:r>
        <w:t>plicht voor de zorgaanbieder. De</w:t>
      </w:r>
      <w:r w:rsidR="00E3544C">
        <w:t xml:space="preserve"> min</w:t>
      </w:r>
      <w:r w:rsidR="00885460">
        <w:t>i</w:t>
      </w:r>
      <w:r w:rsidR="00E3544C">
        <w:t xml:space="preserve">ster kan </w:t>
      </w:r>
      <w:r>
        <w:t xml:space="preserve">op straffe van een bestuurlijke boete </w:t>
      </w:r>
      <w:r w:rsidR="00E3544C">
        <w:t xml:space="preserve">die zorgplicht </w:t>
      </w:r>
      <w:r>
        <w:t>af</w:t>
      </w:r>
      <w:r w:rsidR="00E3544C">
        <w:t xml:space="preserve">dwingen. </w:t>
      </w:r>
      <w:r>
        <w:t xml:space="preserve">Allereerst vinden wij dat een dergelijke absolute plicht voor de zorgaanbieder niet past in het gekozen systeem van contractering. </w:t>
      </w:r>
      <w:r w:rsidR="00885460">
        <w:t xml:space="preserve">Ook ontbreekt de mogelijkheid voor de zorgaanbieder om tegen die zorgplicht op te komen. </w:t>
      </w:r>
      <w:r w:rsidR="00E3544C">
        <w:t xml:space="preserve">Het is </w:t>
      </w:r>
      <w:r w:rsidR="00885460">
        <w:t xml:space="preserve">bijvoorbeeld </w:t>
      </w:r>
      <w:r w:rsidR="00E3544C">
        <w:t xml:space="preserve">voorstelbaar dat bij mensen met een verstandelijke beperking (helaas) geen goede indicatie (te lage) is gesteld of </w:t>
      </w:r>
      <w:r w:rsidR="00FB6BDD">
        <w:t>g</w:t>
      </w:r>
      <w:r w:rsidR="00E3544C">
        <w:t xml:space="preserve">een geschikte plaats beschikbaar is. </w:t>
      </w:r>
      <w:r w:rsidR="00885460">
        <w:t xml:space="preserve">In dergelijke situaties is er in de Wfz </w:t>
      </w:r>
      <w:r w:rsidR="00E3544C">
        <w:t xml:space="preserve">geen </w:t>
      </w:r>
      <w:r w:rsidR="00885460">
        <w:t xml:space="preserve">procedure of andere mogelijkheid </w:t>
      </w:r>
      <w:r w:rsidR="00E3544C">
        <w:t xml:space="preserve">voor de zorgaanbieder om </w:t>
      </w:r>
      <w:r w:rsidR="00885460">
        <w:t xml:space="preserve">opname te weigeren. </w:t>
      </w:r>
      <w:r w:rsidR="00DE1253">
        <w:t xml:space="preserve">Bij gebrek daaraan is een onverkorte opnameplicht </w:t>
      </w:r>
      <w:r w:rsidR="00885460">
        <w:t xml:space="preserve">naar onze mening </w:t>
      </w:r>
      <w:r w:rsidR="00DE1253">
        <w:t>niet houdbaar</w:t>
      </w:r>
      <w:r w:rsidR="00E3544C">
        <w:t xml:space="preserve">. </w:t>
      </w:r>
      <w:r w:rsidR="00885460">
        <w:t>Wij hebben bezwaar tegen d</w:t>
      </w:r>
      <w:r w:rsidR="00E3544C">
        <w:t xml:space="preserve">e bevoegdheid van de minister om </w:t>
      </w:r>
      <w:r w:rsidR="00885460">
        <w:t xml:space="preserve">een bestuurlijke boete te kunnen opleggen. Dit spoort niet </w:t>
      </w:r>
      <w:r w:rsidR="00E3544C">
        <w:t xml:space="preserve">bij </w:t>
      </w:r>
      <w:r w:rsidR="00885460">
        <w:t xml:space="preserve">het gekozen </w:t>
      </w:r>
      <w:r w:rsidR="00E3544C">
        <w:t xml:space="preserve">systeem van </w:t>
      </w:r>
      <w:r w:rsidR="00885460">
        <w:t>zorg</w:t>
      </w:r>
      <w:r w:rsidR="00E3544C">
        <w:t>contractering</w:t>
      </w:r>
      <w:r w:rsidR="00885460">
        <w:t xml:space="preserve">. </w:t>
      </w:r>
    </w:p>
    <w:p w:rsidR="00DE1253" w:rsidRDefault="00A77693" w:rsidP="00FF6992">
      <w:r>
        <w:br w:type="page"/>
      </w:r>
      <w:r w:rsidR="00885460">
        <w:t xml:space="preserve">Immers het gewone privaatrecht voorziet </w:t>
      </w:r>
      <w:r w:rsidR="001D6C33">
        <w:t xml:space="preserve">erin </w:t>
      </w:r>
      <w:r w:rsidR="00885460">
        <w:t xml:space="preserve">om in geval de zorgaanbieder zijn verplichtingen verzaakt, </w:t>
      </w:r>
      <w:r w:rsidR="001D6C33">
        <w:t xml:space="preserve">aan te spreken en </w:t>
      </w:r>
      <w:r w:rsidR="00885460">
        <w:t>nakoming te eisen</w:t>
      </w:r>
      <w:r w:rsidR="001D6C33">
        <w:t xml:space="preserve">. Het opnemen van een bestuurlijke boete vinden wij bovendien </w:t>
      </w:r>
      <w:r w:rsidR="00E3544C">
        <w:t xml:space="preserve">disproportioneel. </w:t>
      </w:r>
      <w:r w:rsidR="001D6C33">
        <w:t xml:space="preserve">Wij vragen u </w:t>
      </w:r>
    </w:p>
    <w:p w:rsidR="007778FE" w:rsidRDefault="007778FE" w:rsidP="00FF699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1D6C33" w:rsidTr="00A77693">
        <w:tc>
          <w:tcPr>
            <w:tcW w:w="9356" w:type="dxa"/>
          </w:tcPr>
          <w:p w:rsidR="001D6C33" w:rsidRDefault="001D6C33" w:rsidP="00FF6992">
            <w:r>
              <w:t xml:space="preserve">3a. de wettelijke opnameplicht voor de zorgaanbieder </w:t>
            </w:r>
            <w:r w:rsidR="00D3762A">
              <w:t xml:space="preserve">te schrappen </w:t>
            </w:r>
            <w:r>
              <w:t xml:space="preserve">en </w:t>
            </w:r>
          </w:p>
          <w:p w:rsidR="001D6C33" w:rsidRDefault="001D6C33" w:rsidP="004C15B0">
            <w:r>
              <w:t xml:space="preserve">3b. de minister geen bevoegdheid te geven om een bestuurlijke boete op te </w:t>
            </w:r>
            <w:r w:rsidR="004C15B0">
              <w:t>leggen.</w:t>
            </w:r>
            <w:r>
              <w:t xml:space="preserve"> </w:t>
            </w:r>
          </w:p>
        </w:tc>
      </w:tr>
    </w:tbl>
    <w:p w:rsidR="00A77693" w:rsidRDefault="00A77693" w:rsidP="00FF6992">
      <w:pPr>
        <w:rPr>
          <w:b/>
          <w:i/>
        </w:rPr>
      </w:pPr>
    </w:p>
    <w:p w:rsidR="007778FE" w:rsidRDefault="003C64FC" w:rsidP="00FF6992">
      <w:pPr>
        <w:rPr>
          <w:b/>
          <w:i/>
        </w:rPr>
      </w:pPr>
      <w:r w:rsidRPr="003C64FC">
        <w:rPr>
          <w:b/>
          <w:i/>
        </w:rPr>
        <w:t>4. De bijzondere aanwijzing tot private instelling voor de verpleging van ter beschikking gestelde</w:t>
      </w:r>
      <w:r w:rsidR="00E1300F">
        <w:rPr>
          <w:b/>
          <w:i/>
        </w:rPr>
        <w:t>n</w:t>
      </w:r>
      <w:r w:rsidRPr="003C64FC">
        <w:rPr>
          <w:b/>
          <w:i/>
        </w:rPr>
        <w:t>.</w:t>
      </w:r>
    </w:p>
    <w:p w:rsidR="00980AC9" w:rsidRDefault="00980AC9" w:rsidP="00FF6992">
      <w:pPr>
        <w:rPr>
          <w:b/>
          <w:i/>
        </w:rPr>
      </w:pPr>
    </w:p>
    <w:p w:rsidR="00980AC9" w:rsidRPr="00F64C34" w:rsidRDefault="00980AC9" w:rsidP="00FF6992">
      <w:pPr>
        <w:rPr>
          <w:i/>
        </w:rPr>
      </w:pPr>
      <w:r w:rsidRPr="00F64C34">
        <w:rPr>
          <w:i/>
        </w:rPr>
        <w:t xml:space="preserve">Artikel 3.3. </w:t>
      </w:r>
    </w:p>
    <w:p w:rsidR="00980AC9" w:rsidRDefault="00980AC9" w:rsidP="00FF6992">
      <w:r>
        <w:t xml:space="preserve">In dit artikel worden de bevoegdheden van de minister geregeld om een bijzondere aanwijzing te geven aan private instellingen. Wij vinden de inhoud van het eerste lid van dit artikel niet helder. Welke populatie betreft het hier? In de gehandicaptenzorg zullen </w:t>
      </w:r>
      <w:r w:rsidR="00F3487F">
        <w:t>ook</w:t>
      </w:r>
      <w:r>
        <w:t xml:space="preserve"> forensische cliënten opgenomen zijn waarbij tbs onder voorwaarden is opgelegd. Wij vragen u dat de min</w:t>
      </w:r>
      <w:r w:rsidR="005A78B2">
        <w:t>i</w:t>
      </w:r>
      <w:r>
        <w:t xml:space="preserve">ster </w:t>
      </w:r>
    </w:p>
    <w:p w:rsidR="00980AC9" w:rsidRDefault="00980AC9" w:rsidP="00FF699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80AC9" w:rsidTr="00A77693">
        <w:tc>
          <w:tcPr>
            <w:tcW w:w="9356" w:type="dxa"/>
          </w:tcPr>
          <w:p w:rsidR="00980AC9" w:rsidRDefault="004C15B0" w:rsidP="00A77693">
            <w:r>
              <w:t xml:space="preserve">4a. helderheid geeft of </w:t>
            </w:r>
            <w:r w:rsidR="00980AC9">
              <w:t xml:space="preserve">de bijzondere aanwijzing alleen betrekking heeft op tbs met dwangverpleging of ook </w:t>
            </w:r>
            <w:r w:rsidR="00E1300F">
              <w:t>op</w:t>
            </w:r>
            <w:r w:rsidR="00980AC9">
              <w:t xml:space="preserve"> tbs onder voorwaarden. </w:t>
            </w:r>
          </w:p>
        </w:tc>
      </w:tr>
    </w:tbl>
    <w:p w:rsidR="00980AC9" w:rsidRPr="003C64FC" w:rsidRDefault="00980AC9" w:rsidP="00FF6992">
      <w:pPr>
        <w:rPr>
          <w:b/>
          <w:i/>
        </w:rPr>
      </w:pPr>
    </w:p>
    <w:p w:rsidR="00512428" w:rsidRDefault="008A5959" w:rsidP="00FF6992">
      <w:r>
        <w:t>De aanwijzingsbevoegdheid van de min</w:t>
      </w:r>
      <w:r w:rsidR="008F2FE5">
        <w:t>i</w:t>
      </w:r>
      <w:r>
        <w:t xml:space="preserve">ster om </w:t>
      </w:r>
      <w:r w:rsidR="00980AC9">
        <w:t xml:space="preserve">op grond van artikel 3.3 </w:t>
      </w:r>
      <w:r>
        <w:t>instellingen aan te wijzen als zijnde in het bijzonder bestemd als instelling voor verpleging van ter beschikking gestelden,</w:t>
      </w:r>
      <w:r w:rsidR="008F2FE5">
        <w:t xml:space="preserve"> </w:t>
      </w:r>
      <w:r>
        <w:t>lijkt verstrekkende gevolgen te kunnen hebben voor de aanbieder van forensische gehandicaptenzorg en hun cliënten. In de memorie wordt gewezen op een mogelijk getalscriterium</w:t>
      </w:r>
      <w:r w:rsidR="00BE73F0">
        <w:t>,</w:t>
      </w:r>
      <w:r>
        <w:t xml:space="preserve"> maar dit is nog </w:t>
      </w:r>
      <w:r w:rsidR="00BE73F0">
        <w:t>lang niet uitgekristalliseerd. Qua aantal zullen de forensische cliënten in de gehandicaptenzorg in de regel een (kleine) minderheid vormen ten opzichte van het totaal van de reguliere cliëntenpopulatie, maar in sommige situaties zal dat niet zo zijn. I</w:t>
      </w:r>
      <w:r>
        <w:t>ndien de private instelling volgens de Wfz door de min</w:t>
      </w:r>
      <w:r w:rsidR="00BE73F0">
        <w:t>i</w:t>
      </w:r>
      <w:r>
        <w:t>ster wordt aangewezen</w:t>
      </w:r>
      <w:r w:rsidR="00E1300F">
        <w:t xml:space="preserve"> om tbs-ers te verplegen, dan </w:t>
      </w:r>
      <w:r w:rsidR="0083018B">
        <w:t>is</w:t>
      </w:r>
      <w:r w:rsidR="008F2FE5">
        <w:t xml:space="preserve"> volgens de </w:t>
      </w:r>
      <w:r w:rsidR="00BE73F0">
        <w:t>Wfz</w:t>
      </w:r>
      <w:r>
        <w:t xml:space="preserve"> op h</w:t>
      </w:r>
      <w:r w:rsidR="00E1300F">
        <w:t>e</w:t>
      </w:r>
      <w:r>
        <w:t>n de Beginselenwet verpleging ter beschikking gestelden (bvt) van toepassing</w:t>
      </w:r>
      <w:r w:rsidR="0083018B">
        <w:t>.</w:t>
      </w:r>
      <w:r w:rsidR="00C2448A">
        <w:t xml:space="preserve"> </w:t>
      </w:r>
      <w:r w:rsidR="00512428">
        <w:t xml:space="preserve">De memorie van toelichting blijft onduidelijk wat dit betekent voor instellingen voor gehandicaptenzorg die op dit moment tbs-ers op grond van hun problematiek en de daarbij vereiste behandelsetting in een </w:t>
      </w:r>
      <w:proofErr w:type="spellStart"/>
      <w:r w:rsidR="00512428">
        <w:t>Bopz</w:t>
      </w:r>
      <w:r w:rsidR="00AC491F">
        <w:t>-</w:t>
      </w:r>
      <w:r w:rsidR="00512428">
        <w:t>locatie</w:t>
      </w:r>
      <w:proofErr w:type="spellEnd"/>
      <w:r w:rsidR="00512428">
        <w:t xml:space="preserve"> behandelen en wiens interne rechtspositie wordt bepaald door de wet Bopz. De bvt geldt dan dus niet.</w:t>
      </w:r>
      <w:r w:rsidR="00DB5D0A">
        <w:t xml:space="preserve"> </w:t>
      </w:r>
      <w:r>
        <w:t xml:space="preserve">Als echter </w:t>
      </w:r>
      <w:r w:rsidR="00C2448A">
        <w:t xml:space="preserve">onder de werking van de Wfz tengevolge van de aanwijzing </w:t>
      </w:r>
      <w:r w:rsidR="00E1300F">
        <w:t xml:space="preserve">door de minister </w:t>
      </w:r>
      <w:r>
        <w:t xml:space="preserve">de bvt van toepassing wordt, </w:t>
      </w:r>
      <w:r w:rsidR="00BE73F0">
        <w:t xml:space="preserve">verandert </w:t>
      </w:r>
      <w:r w:rsidR="0083018B">
        <w:t xml:space="preserve">(tijdens diens opname) </w:t>
      </w:r>
      <w:r w:rsidR="00512428">
        <w:t xml:space="preserve">de </w:t>
      </w:r>
      <w:r w:rsidR="00BE73F0">
        <w:t>rechtspositie</w:t>
      </w:r>
      <w:r w:rsidR="00512428">
        <w:t xml:space="preserve"> van de tbs-er</w:t>
      </w:r>
      <w:r w:rsidR="00C2448A">
        <w:t>. Di</w:t>
      </w:r>
      <w:r w:rsidR="008F2FE5">
        <w:t>e gewijzigde rechtsp</w:t>
      </w:r>
      <w:r w:rsidR="00DF41A4">
        <w:t xml:space="preserve">ositie heeft gevolgen voor zijn </w:t>
      </w:r>
      <w:r w:rsidR="008F2FE5">
        <w:t>bewegingsvrijheid, respectievelijk beperkingen.</w:t>
      </w:r>
      <w:r w:rsidR="00512428">
        <w:t xml:space="preserve"> Daar komt bij dat Bopz-cliënten en tbs-ers, die op grond van een bepaalde problematiek een behandelgroep vormden, gesplitst moeten worden om de Bopz-</w:t>
      </w:r>
      <w:r w:rsidR="00ED47F2">
        <w:t>cliënten</w:t>
      </w:r>
      <w:r w:rsidR="00512428">
        <w:t xml:space="preserve"> te vrijwaren van het bvt-regime. </w:t>
      </w:r>
    </w:p>
    <w:p w:rsidR="00512428" w:rsidRDefault="00512428" w:rsidP="00FF6992"/>
    <w:p w:rsidR="008A3CAA" w:rsidRDefault="00512428" w:rsidP="00FF6992">
      <w:r>
        <w:t>T</w:t>
      </w:r>
      <w:r w:rsidR="008A3CAA">
        <w:t>en slotte</w:t>
      </w:r>
      <w:r w:rsidR="008F2FE5">
        <w:t xml:space="preserve"> </w:t>
      </w:r>
      <w:r w:rsidR="008A3CAA">
        <w:t>z</w:t>
      </w:r>
      <w:r>
        <w:t>al het</w:t>
      </w:r>
      <w:r w:rsidR="006C285C">
        <w:t xml:space="preserve"> voor medewerkers ondoenlijk </w:t>
      </w:r>
      <w:r w:rsidR="008A3CAA">
        <w:t>zijn om met verschillende rechtsposities op één groep cliënten met dezelfde problematiek te moeten gaan werken.</w:t>
      </w:r>
      <w:r w:rsidR="008A3CAA" w:rsidDel="008A3CAA">
        <w:t xml:space="preserve"> </w:t>
      </w:r>
    </w:p>
    <w:p w:rsidR="003D2022" w:rsidRDefault="003D2022" w:rsidP="00FF6992">
      <w:r>
        <w:t>Wij v</w:t>
      </w:r>
      <w:r w:rsidR="009A4BF5">
        <w:t xml:space="preserve">erzoeken u om </w:t>
      </w:r>
      <w:r>
        <w:t xml:space="preserve">de minister </w:t>
      </w:r>
      <w:r w:rsidR="009A4BF5">
        <w:t>te vragen:</w:t>
      </w:r>
    </w:p>
    <w:p w:rsidR="003D2022" w:rsidRDefault="003D2022" w:rsidP="00FF699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3D2022" w:rsidTr="00A77693">
        <w:trPr>
          <w:trHeight w:val="1709"/>
        </w:trPr>
        <w:tc>
          <w:tcPr>
            <w:tcW w:w="9356" w:type="dxa"/>
          </w:tcPr>
          <w:p w:rsidR="003D2022" w:rsidRDefault="00054D74" w:rsidP="004C15B0">
            <w:r>
              <w:t>4b</w:t>
            </w:r>
            <w:r w:rsidR="009A4BF5">
              <w:t xml:space="preserve">. de rechtspositieregeling van de tbs-er </w:t>
            </w:r>
            <w:r w:rsidR="006C285C">
              <w:t xml:space="preserve">te verduidelijken </w:t>
            </w:r>
            <w:r w:rsidR="009A4BF5">
              <w:t>als de instelling de bijzondere aanwijzing krijg</w:t>
            </w:r>
            <w:r w:rsidR="006C285C">
              <w:t>t</w:t>
            </w:r>
            <w:r w:rsidR="009A4BF5">
              <w:t>; houdt de tbs-er dan d</w:t>
            </w:r>
            <w:r w:rsidR="003D2022">
              <w:t xml:space="preserve">e interne rechtspositie van </w:t>
            </w:r>
            <w:r w:rsidR="008A3CAA">
              <w:t xml:space="preserve">de </w:t>
            </w:r>
            <w:r w:rsidR="009A4BF5">
              <w:t xml:space="preserve">bvt </w:t>
            </w:r>
            <w:r w:rsidR="003D2022">
              <w:t xml:space="preserve">of </w:t>
            </w:r>
            <w:r w:rsidR="008A3CAA">
              <w:t>krijgt hij de rechtpositie van de locatie waar hij zich bevindt, van de wet Bopz. Krijgt hij de rechtspositie van de Bvt dan is de vraag waarom niet zoals nu kan worden volstaan met de huidige rechtspositieregeling van de Wet Bopz (en in de toekomst van de wet zorg en dwang)</w:t>
            </w:r>
            <w:r w:rsidR="00A77693">
              <w:t>.</w:t>
            </w:r>
          </w:p>
        </w:tc>
      </w:tr>
    </w:tbl>
    <w:p w:rsidR="00F978A9" w:rsidRDefault="00F978A9" w:rsidP="00FF6992"/>
    <w:p w:rsidR="00F978A9" w:rsidRDefault="00F978A9" w:rsidP="00FF6992">
      <w:r>
        <w:t xml:space="preserve">Artikel 3.3. Lid 3 tot en met 6 </w:t>
      </w:r>
    </w:p>
    <w:p w:rsidR="00F978A9" w:rsidRPr="009D25E4" w:rsidRDefault="00F978A9" w:rsidP="00FF6992">
      <w:r w:rsidRPr="009D25E4">
        <w:t xml:space="preserve">Wij hebben principiële bezwaren tegen de bevoegdheden die de minister heeft op grond van dit artikel 3.3. Het betreft met name het in lid </w:t>
      </w:r>
      <w:r>
        <w:t>3 tot en met 6</w:t>
      </w:r>
      <w:r w:rsidRPr="009D25E4">
        <w:t xml:space="preserve"> bepaalde dat het beheer berust bij het hoofd van de instelling. Deze kan van de minister aanwijzingen ontvangen. De minister kan het hoofd schorsen en voordragen voor ontslag en het beheer overnemen. Wij menen dat het beheer bij de Raad van Bestuur moet rusten. Het hoofd is in dienst van en hiërarchisch ondergeschikt aan de Raad van Bestuur. Deze zou nu van de Raad van Bestuur én van de minister aanwijzingen kunnen krijgen. Wij vinden dit niet goed werkbaar. </w:t>
      </w:r>
    </w:p>
    <w:p w:rsidR="00F978A9" w:rsidRPr="00C90231" w:rsidRDefault="00F978A9" w:rsidP="00FF6992"/>
    <w:p w:rsidR="00F978A9" w:rsidRPr="009D25E4" w:rsidRDefault="00F978A9" w:rsidP="00FF6992">
      <w:pPr>
        <w:rPr>
          <w:i/>
        </w:rPr>
      </w:pPr>
      <w:r w:rsidRPr="009D25E4">
        <w:rPr>
          <w:i/>
        </w:rPr>
        <w:t xml:space="preserve">Lid 7 </w:t>
      </w:r>
    </w:p>
    <w:p w:rsidR="00F978A9" w:rsidRDefault="00F978A9" w:rsidP="00FF6992">
      <w:r w:rsidRPr="009D25E4">
        <w:t xml:space="preserve">In lid 7 is </w:t>
      </w:r>
      <w:r w:rsidR="005C7F6A">
        <w:t>voorts bepaald dat de minister éé</w:t>
      </w:r>
      <w:r w:rsidRPr="009D25E4">
        <w:t>n van de leden van de Raad van toezicht benoem</w:t>
      </w:r>
      <w:r w:rsidR="008A3CAA">
        <w:t>t</w:t>
      </w:r>
      <w:r w:rsidRPr="009D25E4">
        <w:t xml:space="preserve"> die een bijzondere taak heeft om toezicht te houden op de tbs gestelden. De Raad van toezicht is een onafhankelijk orgaan en treedt op volgens de Zorgbrede governance code en behartigt de belangen van externe stakeholders, waaronder die van de minister van Justitie. Wij zien hierin voldoende waarborgen voor adequaat toezicht op het bestuur. </w:t>
      </w:r>
    </w:p>
    <w:p w:rsidR="00F978A9" w:rsidRDefault="00F978A9" w:rsidP="00FF6992"/>
    <w:p w:rsidR="00F978A9" w:rsidRPr="008044B8" w:rsidRDefault="00F978A9" w:rsidP="00FF6992">
      <w:pPr>
        <w:rPr>
          <w:i/>
        </w:rPr>
      </w:pPr>
      <w:r w:rsidRPr="008044B8">
        <w:t>Lid 9</w:t>
      </w:r>
    </w:p>
    <w:p w:rsidR="00F978A9" w:rsidRPr="008044B8" w:rsidRDefault="00F978A9" w:rsidP="00FF6992">
      <w:r w:rsidRPr="008044B8">
        <w:t xml:space="preserve">In dit lid worden beperkingen gesteld aan het vermogensbeleid van de instellingen. Wij menen dat deze bepaling niet in overeenstemming is met het feit dat de inkoop van de forensische zorg op civielrechtelijke titel gebeurt in een concurrentiemodel met aanbestedingen. Bovendien gaat het bij instellingen van gehandicaptenzorg om een geringe populatie. Dat neemt niet weg dat wij menen dat het eigendom bij de private zorginstelling ligt waarin de minister in de gegeven omstandigheden niet mag ingrijpen. Tevens wijzen wij u op de ontwikkelingen in het VWS domein waarin de stappen gezet zijn tot afschaffing van het bouwregime met eigen verantwoordelijkheden voor de zorginstellingen. </w:t>
      </w:r>
    </w:p>
    <w:p w:rsidR="00F978A9" w:rsidRPr="008044B8" w:rsidRDefault="00A77693" w:rsidP="00FF6992">
      <w:pPr>
        <w:rPr>
          <w:i/>
        </w:rPr>
      </w:pPr>
      <w:r>
        <w:rPr>
          <w:i/>
        </w:rPr>
        <w:br w:type="page"/>
      </w:r>
      <w:r w:rsidR="00F978A9" w:rsidRPr="008044B8">
        <w:rPr>
          <w:i/>
        </w:rPr>
        <w:t>Lid 10</w:t>
      </w:r>
    </w:p>
    <w:p w:rsidR="00980AC9" w:rsidRDefault="00F978A9" w:rsidP="00FF6992">
      <w:r w:rsidRPr="008044B8">
        <w:t xml:space="preserve">De voorafgaande toestemming van de minister is vereist bij wijziging van de statuten, juridische fusie of splitsing. Hiervoor geldt naar onze mening het zelfde als gesteld onder </w:t>
      </w:r>
      <w:r>
        <w:t xml:space="preserve">lid 9 </w:t>
      </w:r>
      <w:r w:rsidRPr="008044B8">
        <w:t>l</w:t>
      </w:r>
    </w:p>
    <w:p w:rsidR="00980AC9" w:rsidRDefault="00980AC9" w:rsidP="00FF699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80AC9" w:rsidTr="00A77693">
        <w:tc>
          <w:tcPr>
            <w:tcW w:w="9356" w:type="dxa"/>
          </w:tcPr>
          <w:p w:rsidR="00980AC9" w:rsidRDefault="0051227A" w:rsidP="004C15B0">
            <w:r>
              <w:t>4c.</w:t>
            </w:r>
            <w:r w:rsidR="00054D74">
              <w:t xml:space="preserve"> </w:t>
            </w:r>
            <w:r w:rsidR="00F978A9">
              <w:t xml:space="preserve">Wij hebben principiële bezwaren tegen de (te)vergaande bevoegdheden. </w:t>
            </w:r>
            <w:r w:rsidR="00F913C3">
              <w:t>De min</w:t>
            </w:r>
            <w:r w:rsidR="005A78B2">
              <w:t>i</w:t>
            </w:r>
            <w:r w:rsidR="00F913C3">
              <w:t>ster heeft vele ‘petten’ (zorginkoper, indicatie en plaatsing</w:t>
            </w:r>
            <w:r w:rsidR="0077550C">
              <w:t>)</w:t>
            </w:r>
            <w:r w:rsidR="00F913C3">
              <w:t xml:space="preserve">. </w:t>
            </w:r>
            <w:r w:rsidR="00F978A9">
              <w:t>Wij zien geen gegronde reden voor de minister om binnen de privaatrechtelijke rechtsverhouding te moeten beschikken over deze bevoegdheden. Wij</w:t>
            </w:r>
            <w:r w:rsidR="00F913C3">
              <w:t xml:space="preserve"> verzoeken u</w:t>
            </w:r>
            <w:r w:rsidR="00F978A9">
              <w:t xml:space="preserve">, gelet op onze bezwaren de minister hierover te bevragen. </w:t>
            </w:r>
          </w:p>
        </w:tc>
      </w:tr>
    </w:tbl>
    <w:p w:rsidR="00980AC9" w:rsidRDefault="00980AC9" w:rsidP="00FF6992"/>
    <w:p w:rsidR="00F913C3" w:rsidRDefault="009571C3" w:rsidP="00FF6992">
      <w:r>
        <w:t>De Wfz is een organisatiewet waarbij belangrijke onderdelen nader uitgewerkt worden in een algemene maatregel van bestuur, aangeduid als het Besluit forensische zorg.</w:t>
      </w:r>
    </w:p>
    <w:p w:rsidR="00F913C3" w:rsidRDefault="00F913C3" w:rsidP="00FF6992">
      <w:r>
        <w:t xml:space="preserve">Dit geldt onder andere voorbeeld voor de indicatie. De VGN vindt het met name van groot belang dat de deskundigheid gewaarborgd wordt die nodig is voor de indicatie van verstandelijk gehandicapten met gedragsstoornissen. In de reguliere psychiatrie gebruikt men cognitief gerichte psychiatrische methodieken, die niet aansluiten bij de cognitieve en sociaal adaptieve vaardigheden die verstandelijk gehandicapten met gedragsstoornissen hebben. </w:t>
      </w:r>
    </w:p>
    <w:p w:rsidR="00F913C3" w:rsidRDefault="00F913C3" w:rsidP="00FF6992"/>
    <w:p w:rsidR="007778FE" w:rsidRDefault="00F913C3" w:rsidP="00FF6992">
      <w:r>
        <w:t>Verder betreft het Besluit ook de spelregels van zorginkoop alsook het al eerder genoemde getalscriterium voor de bijzondere aanwijzing. Kortom o</w:t>
      </w:r>
      <w:r w:rsidR="009571C3">
        <w:t xml:space="preserve">p dit moment is de impact van dit Besluit niet duidelijk, maar </w:t>
      </w:r>
      <w:r>
        <w:t>is onze verwachting dat dit B</w:t>
      </w:r>
      <w:r w:rsidR="009571C3">
        <w:t xml:space="preserve">esluit verstrekkend is. Wij vinden dat hiervoor een zogeheten voorhangprocedure in de wet moet worden opgenomen. </w:t>
      </w:r>
    </w:p>
    <w:p w:rsidR="009571C3" w:rsidRDefault="009571C3" w:rsidP="00FF699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571C3" w:rsidTr="00A77693">
        <w:tc>
          <w:tcPr>
            <w:tcW w:w="9356" w:type="dxa"/>
          </w:tcPr>
          <w:p w:rsidR="009571C3" w:rsidRDefault="009571C3" w:rsidP="00FF6992">
            <w:r>
              <w:t xml:space="preserve">Wij vragen u om een aanpassing in de Wfz zodat er een voorhangprocedure bij het Besluit forensische zorg van toepassing is. </w:t>
            </w:r>
          </w:p>
        </w:tc>
      </w:tr>
    </w:tbl>
    <w:p w:rsidR="009571C3" w:rsidRDefault="009571C3" w:rsidP="00FF6992"/>
    <w:p w:rsidR="007778FE" w:rsidRPr="00145C0F" w:rsidRDefault="00F913C3" w:rsidP="004C15B0">
      <w:r>
        <w:t>Tenslotte willen wij u vragen dat de min</w:t>
      </w:r>
      <w:r w:rsidR="005A78B2">
        <w:t>i</w:t>
      </w:r>
      <w:r>
        <w:t xml:space="preserve">ster tempo maakt met de harmonisatie van de rechtsposities. Nu heeft de minister aangekondigd dit in Tweede tranche te willen doen. Gezien de problematiek die wij bij </w:t>
      </w:r>
      <w:r w:rsidR="009A422D">
        <w:t>onder 4b inzake de rechtsposities hebben geschetst, vinden wij dat er geen uitstel tot de Tw</w:t>
      </w:r>
      <w:r w:rsidR="004C15B0">
        <w:t>eede tranche mag plaats vinden.</w:t>
      </w:r>
    </w:p>
    <w:sectPr w:rsidR="007778FE" w:rsidRPr="00145C0F" w:rsidSect="006127AB">
      <w:footerReference w:type="default" r:id="rId9"/>
      <w:type w:val="continuous"/>
      <w:pgSz w:w="11907" w:h="16840" w:code="9"/>
      <w:pgMar w:top="3119" w:right="1701" w:bottom="1531" w:left="1418" w:header="595"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D6" w:rsidRDefault="00FE0CD6">
      <w:pPr>
        <w:spacing w:line="240" w:lineRule="auto"/>
      </w:pPr>
      <w:r>
        <w:separator/>
      </w:r>
    </w:p>
  </w:endnote>
  <w:endnote w:type="continuationSeparator" w:id="0">
    <w:p w:rsidR="00FE0CD6" w:rsidRDefault="00FE0C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D6" w:rsidRDefault="00FE0C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D6" w:rsidRDefault="00FE0CD6">
      <w:pPr>
        <w:spacing w:line="240" w:lineRule="auto"/>
      </w:pPr>
      <w:r>
        <w:separator/>
      </w:r>
    </w:p>
  </w:footnote>
  <w:footnote w:type="continuationSeparator" w:id="0">
    <w:p w:rsidR="00FE0CD6" w:rsidRDefault="00FE0C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D6" w:rsidRDefault="00FE0CD6">
    <w:pPr>
      <w:pStyle w:val="Koptekst"/>
    </w:pPr>
    <w:r>
      <w:rPr>
        <w:noProof/>
      </w:rPr>
      <w:drawing>
        <wp:anchor distT="0" distB="0" distL="114300" distR="114300" simplePos="0" relativeHeight="251657728" behindDoc="1" locked="0" layoutInCell="1" allowOverlap="1">
          <wp:simplePos x="0" y="0"/>
          <wp:positionH relativeFrom="page">
            <wp:posOffset>3780790</wp:posOffset>
          </wp:positionH>
          <wp:positionV relativeFrom="page">
            <wp:posOffset>144145</wp:posOffset>
          </wp:positionV>
          <wp:extent cx="2580005" cy="1077595"/>
          <wp:effectExtent l="19050" t="0" r="0" b="0"/>
          <wp:wrapNone/>
          <wp:docPr id="1" name="Afbeelding 9" descr="VGN_logo_OutlineZWART_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VGN_logo_OutlineZWART_7n"/>
                  <pic:cNvPicPr>
                    <a:picLocks noChangeAspect="1" noChangeArrowheads="1"/>
                  </pic:cNvPicPr>
                </pic:nvPicPr>
                <pic:blipFill>
                  <a:blip r:embed="rId1"/>
                  <a:srcRect/>
                  <a:stretch>
                    <a:fillRect/>
                  </a:stretch>
                </pic:blipFill>
                <pic:spPr bwMode="auto">
                  <a:xfrm>
                    <a:off x="0" y="0"/>
                    <a:ext cx="2580005" cy="1077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44A"/>
    <w:multiLevelType w:val="hybridMultilevel"/>
    <w:tmpl w:val="CC8A6D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67753F"/>
    <w:multiLevelType w:val="hybridMultilevel"/>
    <w:tmpl w:val="BB82E28E"/>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3364"/>
    <w:multiLevelType w:val="hybridMultilevel"/>
    <w:tmpl w:val="B840ED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EA4609"/>
    <w:multiLevelType w:val="hybridMultilevel"/>
    <w:tmpl w:val="9B9A0856"/>
    <w:lvl w:ilvl="0" w:tplc="0413000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BF73349"/>
    <w:multiLevelType w:val="hybridMultilevel"/>
    <w:tmpl w:val="11424FF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D9657D0"/>
    <w:multiLevelType w:val="hybridMultilevel"/>
    <w:tmpl w:val="FBE62C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C0564F"/>
    <w:multiLevelType w:val="hybridMultilevel"/>
    <w:tmpl w:val="940041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2DA77B5"/>
    <w:multiLevelType w:val="multilevel"/>
    <w:tmpl w:val="FEE89F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A5D06FF"/>
    <w:multiLevelType w:val="hybridMultilevel"/>
    <w:tmpl w:val="34DAFB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03C64EA"/>
    <w:multiLevelType w:val="hybridMultilevel"/>
    <w:tmpl w:val="157E09C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147517A"/>
    <w:multiLevelType w:val="hybridMultilevel"/>
    <w:tmpl w:val="FEEAFA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3873BC2"/>
    <w:multiLevelType w:val="multilevel"/>
    <w:tmpl w:val="339653A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47C60FC"/>
    <w:multiLevelType w:val="hybridMultilevel"/>
    <w:tmpl w:val="15C45CA2"/>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78A14DE"/>
    <w:multiLevelType w:val="hybridMultilevel"/>
    <w:tmpl w:val="FFCE3FC8"/>
    <w:lvl w:ilvl="0" w:tplc="A53A1ED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6C0217"/>
    <w:multiLevelType w:val="multilevel"/>
    <w:tmpl w:val="1C4E2D28"/>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8991D29"/>
    <w:multiLevelType w:val="hybridMultilevel"/>
    <w:tmpl w:val="C5EA5D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8AE43C8"/>
    <w:multiLevelType w:val="hybridMultilevel"/>
    <w:tmpl w:val="5734F826"/>
    <w:lvl w:ilvl="0" w:tplc="1CBE19AC">
      <w:start w:val="1"/>
      <w:numFmt w:val="decimal"/>
      <w:pStyle w:val="Nummering1"/>
      <w:lvlText w:val="%1."/>
      <w:lvlJc w:val="left"/>
      <w:pPr>
        <w:tabs>
          <w:tab w:val="num" w:pos="431"/>
        </w:tabs>
        <w:ind w:left="431" w:hanging="43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0E45BB3"/>
    <w:multiLevelType w:val="hybridMultilevel"/>
    <w:tmpl w:val="7C0A29A2"/>
    <w:lvl w:ilvl="0" w:tplc="1166E68E">
      <w:start w:val="1"/>
      <w:numFmt w:val="bullet"/>
      <w:pStyle w:val="Puntje"/>
      <w:lvlText w:val="-"/>
      <w:lvlJc w:val="left"/>
      <w:pPr>
        <w:tabs>
          <w:tab w:val="num" w:pos="431"/>
        </w:tabs>
        <w:ind w:left="862" w:hanging="431"/>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6325E45"/>
    <w:multiLevelType w:val="hybridMultilevel"/>
    <w:tmpl w:val="986A9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86E0B06"/>
    <w:multiLevelType w:val="hybridMultilevel"/>
    <w:tmpl w:val="3D4863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C3C551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5C524D"/>
    <w:multiLevelType w:val="multilevel"/>
    <w:tmpl w:val="591E68A6"/>
    <w:lvl w:ilvl="0">
      <w:start w:val="1"/>
      <w:numFmt w:val="decimal"/>
      <w:lvlText w:val="%1"/>
      <w:lvlJc w:val="right"/>
      <w:pPr>
        <w:tabs>
          <w:tab w:val="num" w:pos="227"/>
        </w:tabs>
        <w:ind w:left="227" w:hanging="227"/>
      </w:pPr>
    </w:lvl>
    <w:lvl w:ilvl="1">
      <w:start w:val="1"/>
      <w:numFmt w:val="lowerLetter"/>
      <w:lvlText w:val="%2"/>
      <w:lvlJc w:val="right"/>
      <w:pPr>
        <w:tabs>
          <w:tab w:val="num" w:pos="227"/>
        </w:tabs>
        <w:ind w:left="227" w:hanging="227"/>
      </w:pPr>
    </w:lvl>
    <w:lvl w:ilvl="2">
      <w:start w:val="1"/>
      <w:numFmt w:val="bullet"/>
      <w:suff w:val="space"/>
      <w:lvlText w:val=""/>
      <w:lvlJc w:val="left"/>
      <w:pPr>
        <w:ind w:left="227" w:firstLine="0"/>
      </w:pPr>
      <w:rPr>
        <w:rFonts w:ascii="Symbol" w:hAnsi="Symbol" w:hint="default"/>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60"/>
        </w:tabs>
        <w:ind w:left="227" w:hanging="227"/>
      </w:pPr>
    </w:lvl>
  </w:abstractNum>
  <w:abstractNum w:abstractNumId="22">
    <w:nsid w:val="530A6A19"/>
    <w:multiLevelType w:val="hybridMultilevel"/>
    <w:tmpl w:val="E5A21F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5BD7E2F"/>
    <w:multiLevelType w:val="multilevel"/>
    <w:tmpl w:val="FEE89F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80326CC"/>
    <w:multiLevelType w:val="hybridMultilevel"/>
    <w:tmpl w:val="4B72B106"/>
    <w:lvl w:ilvl="0" w:tplc="E04EB042">
      <w:start w:val="1"/>
      <w:numFmt w:val="bullet"/>
      <w:lvlText w:val=""/>
      <w:lvlJc w:val="left"/>
      <w:pPr>
        <w:tabs>
          <w:tab w:val="num" w:pos="360"/>
        </w:tabs>
        <w:ind w:left="360" w:hanging="360"/>
      </w:pPr>
      <w:rPr>
        <w:rFonts w:ascii="Wingdings" w:hAnsi="Wingdings" w:hint="default"/>
      </w:rPr>
    </w:lvl>
    <w:lvl w:ilvl="1" w:tplc="3F4C9E0E">
      <w:start w:val="1"/>
      <w:numFmt w:val="bullet"/>
      <w:lvlText w:val=""/>
      <w:lvlJc w:val="left"/>
      <w:pPr>
        <w:tabs>
          <w:tab w:val="num" w:pos="1080"/>
        </w:tabs>
        <w:ind w:left="1080" w:hanging="360"/>
      </w:pPr>
      <w:rPr>
        <w:rFonts w:ascii="Wingdings" w:hAnsi="Wingdings" w:hint="default"/>
      </w:rPr>
    </w:lvl>
    <w:lvl w:ilvl="2" w:tplc="F8E4F8CA" w:tentative="1">
      <w:start w:val="1"/>
      <w:numFmt w:val="bullet"/>
      <w:lvlText w:val=""/>
      <w:lvlJc w:val="left"/>
      <w:pPr>
        <w:tabs>
          <w:tab w:val="num" w:pos="1800"/>
        </w:tabs>
        <w:ind w:left="1800" w:hanging="360"/>
      </w:pPr>
      <w:rPr>
        <w:rFonts w:ascii="Wingdings" w:hAnsi="Wingdings" w:hint="default"/>
      </w:rPr>
    </w:lvl>
    <w:lvl w:ilvl="3" w:tplc="076AB610" w:tentative="1">
      <w:start w:val="1"/>
      <w:numFmt w:val="bullet"/>
      <w:lvlText w:val=""/>
      <w:lvlJc w:val="left"/>
      <w:pPr>
        <w:tabs>
          <w:tab w:val="num" w:pos="2520"/>
        </w:tabs>
        <w:ind w:left="2520" w:hanging="360"/>
      </w:pPr>
      <w:rPr>
        <w:rFonts w:ascii="Wingdings" w:hAnsi="Wingdings" w:hint="default"/>
      </w:rPr>
    </w:lvl>
    <w:lvl w:ilvl="4" w:tplc="12686E86" w:tentative="1">
      <w:start w:val="1"/>
      <w:numFmt w:val="bullet"/>
      <w:lvlText w:val=""/>
      <w:lvlJc w:val="left"/>
      <w:pPr>
        <w:tabs>
          <w:tab w:val="num" w:pos="3240"/>
        </w:tabs>
        <w:ind w:left="3240" w:hanging="360"/>
      </w:pPr>
      <w:rPr>
        <w:rFonts w:ascii="Wingdings" w:hAnsi="Wingdings" w:hint="default"/>
      </w:rPr>
    </w:lvl>
    <w:lvl w:ilvl="5" w:tplc="80CEC586" w:tentative="1">
      <w:start w:val="1"/>
      <w:numFmt w:val="bullet"/>
      <w:lvlText w:val=""/>
      <w:lvlJc w:val="left"/>
      <w:pPr>
        <w:tabs>
          <w:tab w:val="num" w:pos="3960"/>
        </w:tabs>
        <w:ind w:left="3960" w:hanging="360"/>
      </w:pPr>
      <w:rPr>
        <w:rFonts w:ascii="Wingdings" w:hAnsi="Wingdings" w:hint="default"/>
      </w:rPr>
    </w:lvl>
    <w:lvl w:ilvl="6" w:tplc="1E0274F6" w:tentative="1">
      <w:start w:val="1"/>
      <w:numFmt w:val="bullet"/>
      <w:lvlText w:val=""/>
      <w:lvlJc w:val="left"/>
      <w:pPr>
        <w:tabs>
          <w:tab w:val="num" w:pos="4680"/>
        </w:tabs>
        <w:ind w:left="4680" w:hanging="360"/>
      </w:pPr>
      <w:rPr>
        <w:rFonts w:ascii="Wingdings" w:hAnsi="Wingdings" w:hint="default"/>
      </w:rPr>
    </w:lvl>
    <w:lvl w:ilvl="7" w:tplc="6D5E1964" w:tentative="1">
      <w:start w:val="1"/>
      <w:numFmt w:val="bullet"/>
      <w:lvlText w:val=""/>
      <w:lvlJc w:val="left"/>
      <w:pPr>
        <w:tabs>
          <w:tab w:val="num" w:pos="5400"/>
        </w:tabs>
        <w:ind w:left="5400" w:hanging="360"/>
      </w:pPr>
      <w:rPr>
        <w:rFonts w:ascii="Wingdings" w:hAnsi="Wingdings" w:hint="default"/>
      </w:rPr>
    </w:lvl>
    <w:lvl w:ilvl="8" w:tplc="54B874EC" w:tentative="1">
      <w:start w:val="1"/>
      <w:numFmt w:val="bullet"/>
      <w:lvlText w:val=""/>
      <w:lvlJc w:val="left"/>
      <w:pPr>
        <w:tabs>
          <w:tab w:val="num" w:pos="6120"/>
        </w:tabs>
        <w:ind w:left="6120" w:hanging="360"/>
      </w:pPr>
      <w:rPr>
        <w:rFonts w:ascii="Wingdings" w:hAnsi="Wingdings" w:hint="default"/>
      </w:rPr>
    </w:lvl>
  </w:abstractNum>
  <w:abstractNum w:abstractNumId="25">
    <w:nsid w:val="5C003A28"/>
    <w:multiLevelType w:val="hybridMultilevel"/>
    <w:tmpl w:val="F2E25E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FC835B7"/>
    <w:multiLevelType w:val="hybridMultilevel"/>
    <w:tmpl w:val="BE64B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04C0635"/>
    <w:multiLevelType w:val="hybridMultilevel"/>
    <w:tmpl w:val="805CF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7334EE0"/>
    <w:multiLevelType w:val="hybridMultilevel"/>
    <w:tmpl w:val="76BA51DA"/>
    <w:lvl w:ilvl="0" w:tplc="7F204C4C">
      <w:start w:val="1"/>
      <w:numFmt w:val="bullet"/>
      <w:lvlText w:val="•"/>
      <w:lvlJc w:val="left"/>
      <w:pPr>
        <w:tabs>
          <w:tab w:val="num" w:pos="720"/>
        </w:tabs>
        <w:ind w:left="720" w:hanging="360"/>
      </w:pPr>
      <w:rPr>
        <w:rFonts w:ascii="Arial" w:hAnsi="Arial" w:hint="default"/>
      </w:rPr>
    </w:lvl>
    <w:lvl w:ilvl="1" w:tplc="95C062BE" w:tentative="1">
      <w:start w:val="1"/>
      <w:numFmt w:val="bullet"/>
      <w:lvlText w:val="•"/>
      <w:lvlJc w:val="left"/>
      <w:pPr>
        <w:tabs>
          <w:tab w:val="num" w:pos="1440"/>
        </w:tabs>
        <w:ind w:left="1440" w:hanging="360"/>
      </w:pPr>
      <w:rPr>
        <w:rFonts w:ascii="Arial" w:hAnsi="Arial" w:hint="default"/>
      </w:rPr>
    </w:lvl>
    <w:lvl w:ilvl="2" w:tplc="9FD2D3D8" w:tentative="1">
      <w:start w:val="1"/>
      <w:numFmt w:val="bullet"/>
      <w:lvlText w:val="•"/>
      <w:lvlJc w:val="left"/>
      <w:pPr>
        <w:tabs>
          <w:tab w:val="num" w:pos="2160"/>
        </w:tabs>
        <w:ind w:left="2160" w:hanging="360"/>
      </w:pPr>
      <w:rPr>
        <w:rFonts w:ascii="Arial" w:hAnsi="Arial" w:hint="default"/>
      </w:rPr>
    </w:lvl>
    <w:lvl w:ilvl="3" w:tplc="B0CAC07A" w:tentative="1">
      <w:start w:val="1"/>
      <w:numFmt w:val="bullet"/>
      <w:lvlText w:val="•"/>
      <w:lvlJc w:val="left"/>
      <w:pPr>
        <w:tabs>
          <w:tab w:val="num" w:pos="2880"/>
        </w:tabs>
        <w:ind w:left="2880" w:hanging="360"/>
      </w:pPr>
      <w:rPr>
        <w:rFonts w:ascii="Arial" w:hAnsi="Arial" w:hint="default"/>
      </w:rPr>
    </w:lvl>
    <w:lvl w:ilvl="4" w:tplc="941EE8C4" w:tentative="1">
      <w:start w:val="1"/>
      <w:numFmt w:val="bullet"/>
      <w:lvlText w:val="•"/>
      <w:lvlJc w:val="left"/>
      <w:pPr>
        <w:tabs>
          <w:tab w:val="num" w:pos="3600"/>
        </w:tabs>
        <w:ind w:left="3600" w:hanging="360"/>
      </w:pPr>
      <w:rPr>
        <w:rFonts w:ascii="Arial" w:hAnsi="Arial" w:hint="default"/>
      </w:rPr>
    </w:lvl>
    <w:lvl w:ilvl="5" w:tplc="5C56E864" w:tentative="1">
      <w:start w:val="1"/>
      <w:numFmt w:val="bullet"/>
      <w:lvlText w:val="•"/>
      <w:lvlJc w:val="left"/>
      <w:pPr>
        <w:tabs>
          <w:tab w:val="num" w:pos="4320"/>
        </w:tabs>
        <w:ind w:left="4320" w:hanging="360"/>
      </w:pPr>
      <w:rPr>
        <w:rFonts w:ascii="Arial" w:hAnsi="Arial" w:hint="default"/>
      </w:rPr>
    </w:lvl>
    <w:lvl w:ilvl="6" w:tplc="E9C0FC22" w:tentative="1">
      <w:start w:val="1"/>
      <w:numFmt w:val="bullet"/>
      <w:lvlText w:val="•"/>
      <w:lvlJc w:val="left"/>
      <w:pPr>
        <w:tabs>
          <w:tab w:val="num" w:pos="5040"/>
        </w:tabs>
        <w:ind w:left="5040" w:hanging="360"/>
      </w:pPr>
      <w:rPr>
        <w:rFonts w:ascii="Arial" w:hAnsi="Arial" w:hint="default"/>
      </w:rPr>
    </w:lvl>
    <w:lvl w:ilvl="7" w:tplc="5EF2F4A8" w:tentative="1">
      <w:start w:val="1"/>
      <w:numFmt w:val="bullet"/>
      <w:lvlText w:val="•"/>
      <w:lvlJc w:val="left"/>
      <w:pPr>
        <w:tabs>
          <w:tab w:val="num" w:pos="5760"/>
        </w:tabs>
        <w:ind w:left="5760" w:hanging="360"/>
      </w:pPr>
      <w:rPr>
        <w:rFonts w:ascii="Arial" w:hAnsi="Arial" w:hint="default"/>
      </w:rPr>
    </w:lvl>
    <w:lvl w:ilvl="8" w:tplc="58087C9A" w:tentative="1">
      <w:start w:val="1"/>
      <w:numFmt w:val="bullet"/>
      <w:lvlText w:val="•"/>
      <w:lvlJc w:val="left"/>
      <w:pPr>
        <w:tabs>
          <w:tab w:val="num" w:pos="6480"/>
        </w:tabs>
        <w:ind w:left="6480" w:hanging="360"/>
      </w:pPr>
      <w:rPr>
        <w:rFonts w:ascii="Arial" w:hAnsi="Arial" w:hint="default"/>
      </w:rPr>
    </w:lvl>
  </w:abstractNum>
  <w:abstractNum w:abstractNumId="29">
    <w:nsid w:val="6D2166D8"/>
    <w:multiLevelType w:val="hybridMultilevel"/>
    <w:tmpl w:val="E9BA0382"/>
    <w:lvl w:ilvl="0" w:tplc="16EEF1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9F429C"/>
    <w:multiLevelType w:val="hybridMultilevel"/>
    <w:tmpl w:val="8F02D890"/>
    <w:lvl w:ilvl="0" w:tplc="FA70571E">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7"/>
  </w:num>
  <w:num w:numId="4">
    <w:abstractNumId w:val="11"/>
  </w:num>
  <w:num w:numId="5">
    <w:abstractNumId w:val="21"/>
  </w:num>
  <w:num w:numId="6">
    <w:abstractNumId w:val="21"/>
  </w:num>
  <w:num w:numId="7">
    <w:abstractNumId w:val="21"/>
  </w:num>
  <w:num w:numId="8">
    <w:abstractNumId w:val="7"/>
  </w:num>
  <w:num w:numId="9">
    <w:abstractNumId w:val="7"/>
  </w:num>
  <w:num w:numId="10">
    <w:abstractNumId w:val="7"/>
  </w:num>
  <w:num w:numId="11">
    <w:abstractNumId w:val="17"/>
  </w:num>
  <w:num w:numId="12">
    <w:abstractNumId w:val="7"/>
  </w:num>
  <w:num w:numId="13">
    <w:abstractNumId w:val="17"/>
  </w:num>
  <w:num w:numId="14">
    <w:abstractNumId w:val="23"/>
  </w:num>
  <w:num w:numId="15">
    <w:abstractNumId w:val="20"/>
  </w:num>
  <w:num w:numId="16">
    <w:abstractNumId w:val="16"/>
  </w:num>
  <w:num w:numId="17">
    <w:abstractNumId w:val="14"/>
  </w:num>
  <w:num w:numId="18">
    <w:abstractNumId w:val="4"/>
  </w:num>
  <w:num w:numId="19">
    <w:abstractNumId w:val="1"/>
  </w:num>
  <w:num w:numId="20">
    <w:abstractNumId w:val="22"/>
  </w:num>
  <w:num w:numId="21">
    <w:abstractNumId w:val="5"/>
  </w:num>
  <w:num w:numId="22">
    <w:abstractNumId w:val="2"/>
  </w:num>
  <w:num w:numId="23">
    <w:abstractNumId w:val="28"/>
  </w:num>
  <w:num w:numId="24">
    <w:abstractNumId w:val="8"/>
  </w:num>
  <w:num w:numId="25">
    <w:abstractNumId w:val="12"/>
  </w:num>
  <w:num w:numId="26">
    <w:abstractNumId w:val="30"/>
  </w:num>
  <w:num w:numId="27">
    <w:abstractNumId w:val="24"/>
  </w:num>
  <w:num w:numId="28">
    <w:abstractNumId w:val="15"/>
  </w:num>
  <w:num w:numId="29">
    <w:abstractNumId w:val="25"/>
  </w:num>
  <w:num w:numId="30">
    <w:abstractNumId w:val="9"/>
  </w:num>
  <w:num w:numId="31">
    <w:abstractNumId w:val="18"/>
  </w:num>
  <w:num w:numId="32">
    <w:abstractNumId w:val="3"/>
  </w:num>
  <w:num w:numId="33">
    <w:abstractNumId w:val="6"/>
  </w:num>
  <w:num w:numId="34">
    <w:abstractNumId w:val="10"/>
  </w:num>
  <w:num w:numId="35">
    <w:abstractNumId w:val="13"/>
  </w:num>
  <w:num w:numId="36">
    <w:abstractNumId w:val="27"/>
  </w:num>
  <w:num w:numId="37">
    <w:abstractNumId w:val="0"/>
  </w:num>
  <w:num w:numId="38">
    <w:abstractNumId w:val="26"/>
  </w:num>
  <w:num w:numId="39">
    <w:abstractNumId w:val="2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rsids>
    <w:rsidRoot w:val="004F56E5"/>
    <w:rsid w:val="00002759"/>
    <w:rsid w:val="00014AF8"/>
    <w:rsid w:val="0001624C"/>
    <w:rsid w:val="00020203"/>
    <w:rsid w:val="00022858"/>
    <w:rsid w:val="00034CB8"/>
    <w:rsid w:val="0005442B"/>
    <w:rsid w:val="00054D74"/>
    <w:rsid w:val="00055167"/>
    <w:rsid w:val="000551B4"/>
    <w:rsid w:val="000714B6"/>
    <w:rsid w:val="000759B9"/>
    <w:rsid w:val="00080A59"/>
    <w:rsid w:val="00083A74"/>
    <w:rsid w:val="000B17B7"/>
    <w:rsid w:val="000B5F97"/>
    <w:rsid w:val="000C2DA8"/>
    <w:rsid w:val="000C5456"/>
    <w:rsid w:val="000E6C65"/>
    <w:rsid w:val="000F295C"/>
    <w:rsid w:val="000F6994"/>
    <w:rsid w:val="00102B1F"/>
    <w:rsid w:val="00105E82"/>
    <w:rsid w:val="00135848"/>
    <w:rsid w:val="00145C0F"/>
    <w:rsid w:val="00156136"/>
    <w:rsid w:val="001615FE"/>
    <w:rsid w:val="00163782"/>
    <w:rsid w:val="00165D7B"/>
    <w:rsid w:val="0018192D"/>
    <w:rsid w:val="001819A6"/>
    <w:rsid w:val="001822B4"/>
    <w:rsid w:val="00182FD0"/>
    <w:rsid w:val="00191C10"/>
    <w:rsid w:val="001A630D"/>
    <w:rsid w:val="001A72B0"/>
    <w:rsid w:val="001B11B9"/>
    <w:rsid w:val="001B3996"/>
    <w:rsid w:val="001C0C70"/>
    <w:rsid w:val="001C4DE2"/>
    <w:rsid w:val="001D6C33"/>
    <w:rsid w:val="001E3570"/>
    <w:rsid w:val="00215D3C"/>
    <w:rsid w:val="00217650"/>
    <w:rsid w:val="00217B7A"/>
    <w:rsid w:val="002521C4"/>
    <w:rsid w:val="002562CC"/>
    <w:rsid w:val="00266025"/>
    <w:rsid w:val="002855B6"/>
    <w:rsid w:val="00290CD2"/>
    <w:rsid w:val="002A1219"/>
    <w:rsid w:val="002A2140"/>
    <w:rsid w:val="002C0246"/>
    <w:rsid w:val="002C45B5"/>
    <w:rsid w:val="002D4946"/>
    <w:rsid w:val="002F0074"/>
    <w:rsid w:val="002F08BC"/>
    <w:rsid w:val="00306219"/>
    <w:rsid w:val="00314668"/>
    <w:rsid w:val="003165D7"/>
    <w:rsid w:val="00317C72"/>
    <w:rsid w:val="00331986"/>
    <w:rsid w:val="00332C25"/>
    <w:rsid w:val="00337DD3"/>
    <w:rsid w:val="003465C0"/>
    <w:rsid w:val="00347FC2"/>
    <w:rsid w:val="00357062"/>
    <w:rsid w:val="00361B7F"/>
    <w:rsid w:val="00361DC6"/>
    <w:rsid w:val="00365972"/>
    <w:rsid w:val="00367A1A"/>
    <w:rsid w:val="00371348"/>
    <w:rsid w:val="00372373"/>
    <w:rsid w:val="00373D67"/>
    <w:rsid w:val="00384E2C"/>
    <w:rsid w:val="003C64FC"/>
    <w:rsid w:val="003D2022"/>
    <w:rsid w:val="003D4A31"/>
    <w:rsid w:val="003F754C"/>
    <w:rsid w:val="00407A3F"/>
    <w:rsid w:val="0041266C"/>
    <w:rsid w:val="00414406"/>
    <w:rsid w:val="00417332"/>
    <w:rsid w:val="00426F53"/>
    <w:rsid w:val="00456EE0"/>
    <w:rsid w:val="00460746"/>
    <w:rsid w:val="00475620"/>
    <w:rsid w:val="004915D8"/>
    <w:rsid w:val="004C15B0"/>
    <w:rsid w:val="004D7465"/>
    <w:rsid w:val="004F48A7"/>
    <w:rsid w:val="004F56E5"/>
    <w:rsid w:val="0051227A"/>
    <w:rsid w:val="00512428"/>
    <w:rsid w:val="00512510"/>
    <w:rsid w:val="005134AA"/>
    <w:rsid w:val="005304B7"/>
    <w:rsid w:val="00533729"/>
    <w:rsid w:val="00546536"/>
    <w:rsid w:val="00550328"/>
    <w:rsid w:val="005A1655"/>
    <w:rsid w:val="005A78B2"/>
    <w:rsid w:val="005C757E"/>
    <w:rsid w:val="005C7F6A"/>
    <w:rsid w:val="005E14D4"/>
    <w:rsid w:val="005E5813"/>
    <w:rsid w:val="0060328B"/>
    <w:rsid w:val="006127AB"/>
    <w:rsid w:val="00627D32"/>
    <w:rsid w:val="00634A6F"/>
    <w:rsid w:val="00637ABC"/>
    <w:rsid w:val="0064029B"/>
    <w:rsid w:val="0066353D"/>
    <w:rsid w:val="00675843"/>
    <w:rsid w:val="00675EDD"/>
    <w:rsid w:val="00691ABB"/>
    <w:rsid w:val="006936B4"/>
    <w:rsid w:val="006A20B5"/>
    <w:rsid w:val="006B6E29"/>
    <w:rsid w:val="006C045A"/>
    <w:rsid w:val="006C285C"/>
    <w:rsid w:val="006D57C3"/>
    <w:rsid w:val="006D71B2"/>
    <w:rsid w:val="006E1FA1"/>
    <w:rsid w:val="006E28A0"/>
    <w:rsid w:val="006F0255"/>
    <w:rsid w:val="0071117C"/>
    <w:rsid w:val="00762D17"/>
    <w:rsid w:val="00772826"/>
    <w:rsid w:val="0077550C"/>
    <w:rsid w:val="007778FE"/>
    <w:rsid w:val="00777974"/>
    <w:rsid w:val="00780359"/>
    <w:rsid w:val="00781E36"/>
    <w:rsid w:val="00793F7C"/>
    <w:rsid w:val="007F04B8"/>
    <w:rsid w:val="00815803"/>
    <w:rsid w:val="00816C27"/>
    <w:rsid w:val="008210E6"/>
    <w:rsid w:val="00823D16"/>
    <w:rsid w:val="0083018B"/>
    <w:rsid w:val="00834BD2"/>
    <w:rsid w:val="00860AFF"/>
    <w:rsid w:val="00864AF8"/>
    <w:rsid w:val="008675BD"/>
    <w:rsid w:val="00871AFC"/>
    <w:rsid w:val="008764F7"/>
    <w:rsid w:val="00881FD8"/>
    <w:rsid w:val="00885460"/>
    <w:rsid w:val="008A3CAA"/>
    <w:rsid w:val="008A5959"/>
    <w:rsid w:val="008D7540"/>
    <w:rsid w:val="008F2FE5"/>
    <w:rsid w:val="00914BC0"/>
    <w:rsid w:val="00924AF8"/>
    <w:rsid w:val="009449B7"/>
    <w:rsid w:val="00947B8A"/>
    <w:rsid w:val="0095288E"/>
    <w:rsid w:val="009571C3"/>
    <w:rsid w:val="009651EB"/>
    <w:rsid w:val="009725BE"/>
    <w:rsid w:val="00980AC9"/>
    <w:rsid w:val="00992712"/>
    <w:rsid w:val="009A2F16"/>
    <w:rsid w:val="009A422D"/>
    <w:rsid w:val="009A4BF5"/>
    <w:rsid w:val="009A5D7B"/>
    <w:rsid w:val="009C3EA5"/>
    <w:rsid w:val="009C411A"/>
    <w:rsid w:val="009D2005"/>
    <w:rsid w:val="009D5BFF"/>
    <w:rsid w:val="009E22F9"/>
    <w:rsid w:val="009E586B"/>
    <w:rsid w:val="00A125D0"/>
    <w:rsid w:val="00A16EA1"/>
    <w:rsid w:val="00A558E9"/>
    <w:rsid w:val="00A70814"/>
    <w:rsid w:val="00A71DEC"/>
    <w:rsid w:val="00A75EEB"/>
    <w:rsid w:val="00A77693"/>
    <w:rsid w:val="00A84923"/>
    <w:rsid w:val="00A85A81"/>
    <w:rsid w:val="00AA0685"/>
    <w:rsid w:val="00AA47EC"/>
    <w:rsid w:val="00AB7884"/>
    <w:rsid w:val="00AC0F7B"/>
    <w:rsid w:val="00AC491F"/>
    <w:rsid w:val="00AD04E9"/>
    <w:rsid w:val="00AF00A4"/>
    <w:rsid w:val="00AF04C7"/>
    <w:rsid w:val="00B1125F"/>
    <w:rsid w:val="00B15653"/>
    <w:rsid w:val="00B225F3"/>
    <w:rsid w:val="00B36050"/>
    <w:rsid w:val="00B507A7"/>
    <w:rsid w:val="00B6433F"/>
    <w:rsid w:val="00B96E3E"/>
    <w:rsid w:val="00BA02D2"/>
    <w:rsid w:val="00BA0FFF"/>
    <w:rsid w:val="00BB5F7B"/>
    <w:rsid w:val="00BD3C32"/>
    <w:rsid w:val="00BE4421"/>
    <w:rsid w:val="00BE73F0"/>
    <w:rsid w:val="00BF35D4"/>
    <w:rsid w:val="00C02D1D"/>
    <w:rsid w:val="00C102DB"/>
    <w:rsid w:val="00C11337"/>
    <w:rsid w:val="00C143E2"/>
    <w:rsid w:val="00C213D7"/>
    <w:rsid w:val="00C2149F"/>
    <w:rsid w:val="00C2448A"/>
    <w:rsid w:val="00C3123E"/>
    <w:rsid w:val="00C327C6"/>
    <w:rsid w:val="00C44A8C"/>
    <w:rsid w:val="00C466CE"/>
    <w:rsid w:val="00C5219F"/>
    <w:rsid w:val="00C62A44"/>
    <w:rsid w:val="00C74B5A"/>
    <w:rsid w:val="00C802ED"/>
    <w:rsid w:val="00C82852"/>
    <w:rsid w:val="00C86520"/>
    <w:rsid w:val="00C914C9"/>
    <w:rsid w:val="00CA2BDD"/>
    <w:rsid w:val="00CC60CD"/>
    <w:rsid w:val="00CC654A"/>
    <w:rsid w:val="00CD2BA9"/>
    <w:rsid w:val="00CE7DCE"/>
    <w:rsid w:val="00D215D5"/>
    <w:rsid w:val="00D21B09"/>
    <w:rsid w:val="00D22DC0"/>
    <w:rsid w:val="00D23F7F"/>
    <w:rsid w:val="00D31750"/>
    <w:rsid w:val="00D3762A"/>
    <w:rsid w:val="00D43DF9"/>
    <w:rsid w:val="00D50141"/>
    <w:rsid w:val="00D6105D"/>
    <w:rsid w:val="00D67D1F"/>
    <w:rsid w:val="00D75B44"/>
    <w:rsid w:val="00D87215"/>
    <w:rsid w:val="00DA21DD"/>
    <w:rsid w:val="00DA7B76"/>
    <w:rsid w:val="00DA7BA0"/>
    <w:rsid w:val="00DB5D0A"/>
    <w:rsid w:val="00DC02A6"/>
    <w:rsid w:val="00DE1253"/>
    <w:rsid w:val="00DF0348"/>
    <w:rsid w:val="00DF13E8"/>
    <w:rsid w:val="00DF41A4"/>
    <w:rsid w:val="00E03E90"/>
    <w:rsid w:val="00E10F47"/>
    <w:rsid w:val="00E1300F"/>
    <w:rsid w:val="00E165E3"/>
    <w:rsid w:val="00E3544C"/>
    <w:rsid w:val="00E4462A"/>
    <w:rsid w:val="00E54FF0"/>
    <w:rsid w:val="00E6154C"/>
    <w:rsid w:val="00E61F13"/>
    <w:rsid w:val="00E73BE5"/>
    <w:rsid w:val="00E74FB6"/>
    <w:rsid w:val="00E762CE"/>
    <w:rsid w:val="00E813C1"/>
    <w:rsid w:val="00E82396"/>
    <w:rsid w:val="00E87623"/>
    <w:rsid w:val="00EA2827"/>
    <w:rsid w:val="00EA44D9"/>
    <w:rsid w:val="00EB75EE"/>
    <w:rsid w:val="00EC7846"/>
    <w:rsid w:val="00ED02F7"/>
    <w:rsid w:val="00ED47F2"/>
    <w:rsid w:val="00EE0189"/>
    <w:rsid w:val="00EE4AA0"/>
    <w:rsid w:val="00F1528B"/>
    <w:rsid w:val="00F23BB2"/>
    <w:rsid w:val="00F32ECF"/>
    <w:rsid w:val="00F3487F"/>
    <w:rsid w:val="00F36266"/>
    <w:rsid w:val="00F36D62"/>
    <w:rsid w:val="00F47743"/>
    <w:rsid w:val="00F523D5"/>
    <w:rsid w:val="00F71245"/>
    <w:rsid w:val="00F73DF1"/>
    <w:rsid w:val="00F74B41"/>
    <w:rsid w:val="00F8278B"/>
    <w:rsid w:val="00F85CC6"/>
    <w:rsid w:val="00F913C3"/>
    <w:rsid w:val="00F978A9"/>
    <w:rsid w:val="00FA2C0D"/>
    <w:rsid w:val="00FB237F"/>
    <w:rsid w:val="00FB6BDD"/>
    <w:rsid w:val="00FC7052"/>
    <w:rsid w:val="00FD08E8"/>
    <w:rsid w:val="00FD59C2"/>
    <w:rsid w:val="00FE0CD6"/>
    <w:rsid w:val="00FF69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4DE2"/>
    <w:pPr>
      <w:spacing w:line="280" w:lineRule="atLeast"/>
    </w:pPr>
    <w:rPr>
      <w:rFonts w:ascii="Verdana" w:hAnsi="Verdana"/>
    </w:rPr>
  </w:style>
  <w:style w:type="paragraph" w:styleId="Kop1">
    <w:name w:val="heading 1"/>
    <w:basedOn w:val="Standaard"/>
    <w:next w:val="Standaard"/>
    <w:qFormat/>
    <w:rsid w:val="001C4DE2"/>
    <w:pPr>
      <w:keepNext/>
      <w:tabs>
        <w:tab w:val="left" w:pos="862"/>
        <w:tab w:val="left" w:pos="1293"/>
      </w:tabs>
      <w:spacing w:before="280" w:after="60"/>
      <w:outlineLvl w:val="0"/>
    </w:pPr>
    <w:rPr>
      <w:b/>
    </w:rPr>
  </w:style>
  <w:style w:type="paragraph" w:styleId="Kop2">
    <w:name w:val="heading 2"/>
    <w:basedOn w:val="Standaard"/>
    <w:next w:val="Standaard"/>
    <w:qFormat/>
    <w:rsid w:val="001C4DE2"/>
    <w:pPr>
      <w:keepNext/>
      <w:tabs>
        <w:tab w:val="left" w:pos="862"/>
        <w:tab w:val="left" w:pos="1293"/>
      </w:tabs>
      <w:spacing w:before="280" w:after="30"/>
      <w:outlineLvl w:val="1"/>
    </w:pPr>
    <w:rPr>
      <w:b/>
      <w:i/>
    </w:rPr>
  </w:style>
  <w:style w:type="paragraph" w:styleId="Kop3">
    <w:name w:val="heading 3"/>
    <w:basedOn w:val="Standaard"/>
    <w:next w:val="Standaard"/>
    <w:qFormat/>
    <w:rsid w:val="001C4DE2"/>
    <w:pPr>
      <w:keepNext/>
      <w:tabs>
        <w:tab w:val="left" w:pos="862"/>
        <w:tab w:val="left" w:pos="1293"/>
      </w:tabs>
      <w:spacing w:before="280" w:after="30"/>
      <w:outlineLvl w:val="2"/>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8regel14Char">
    <w:name w:val="Standaard8regel14 Char"/>
    <w:basedOn w:val="Standaardalinea-lettertype"/>
    <w:link w:val="Standaard8regel14"/>
    <w:rsid w:val="001C4DE2"/>
    <w:rPr>
      <w:rFonts w:ascii="Verdana" w:hAnsi="Verdana" w:cs="Tahoma"/>
      <w:sz w:val="16"/>
      <w:lang w:val="nl-NL" w:eastAsia="nl-NL" w:bidi="ar-SA"/>
    </w:rPr>
  </w:style>
  <w:style w:type="paragraph" w:customStyle="1" w:styleId="Standaard8regel14">
    <w:name w:val="Standaard8regel14"/>
    <w:basedOn w:val="Standaard"/>
    <w:link w:val="Standaard8regel14Char"/>
    <w:rsid w:val="001C4DE2"/>
    <w:rPr>
      <w:rFonts w:cs="Tahoma"/>
      <w:sz w:val="16"/>
    </w:rPr>
  </w:style>
  <w:style w:type="paragraph" w:styleId="Koptekst">
    <w:name w:val="header"/>
    <w:basedOn w:val="Standaard"/>
    <w:rsid w:val="001C4DE2"/>
    <w:pPr>
      <w:tabs>
        <w:tab w:val="center" w:pos="4536"/>
        <w:tab w:val="right" w:pos="9072"/>
      </w:tabs>
    </w:pPr>
  </w:style>
  <w:style w:type="paragraph" w:styleId="Voettekst">
    <w:name w:val="footer"/>
    <w:basedOn w:val="Standaard"/>
    <w:link w:val="VoettekstChar"/>
    <w:uiPriority w:val="99"/>
    <w:rsid w:val="001C4DE2"/>
    <w:pPr>
      <w:tabs>
        <w:tab w:val="center" w:pos="4536"/>
        <w:tab w:val="right" w:pos="9072"/>
      </w:tabs>
    </w:pPr>
  </w:style>
  <w:style w:type="paragraph" w:customStyle="1" w:styleId="Standaard1">
    <w:name w:val="Standaard1"/>
    <w:basedOn w:val="Standaard"/>
    <w:rsid w:val="001C4DE2"/>
    <w:pPr>
      <w:spacing w:line="240" w:lineRule="auto"/>
    </w:pPr>
    <w:rPr>
      <w:color w:val="FFFFFF"/>
      <w:sz w:val="2"/>
    </w:rPr>
  </w:style>
  <w:style w:type="paragraph" w:customStyle="1" w:styleId="Documenttitel">
    <w:name w:val="Documenttitel"/>
    <w:basedOn w:val="Koptekst"/>
    <w:rsid w:val="001C4DE2"/>
    <w:rPr>
      <w:b/>
      <w:sz w:val="28"/>
    </w:rPr>
  </w:style>
  <w:style w:type="paragraph" w:styleId="Ballontekst">
    <w:name w:val="Balloon Text"/>
    <w:basedOn w:val="Standaard"/>
    <w:semiHidden/>
    <w:rsid w:val="001C4DE2"/>
    <w:rPr>
      <w:rFonts w:ascii="Tahoma" w:hAnsi="Tahoma"/>
      <w:sz w:val="16"/>
      <w:szCs w:val="16"/>
    </w:rPr>
  </w:style>
  <w:style w:type="paragraph" w:customStyle="1" w:styleId="Standaard8regel14TAV">
    <w:name w:val="Standaard8regel14TAV"/>
    <w:basedOn w:val="Standaard"/>
    <w:rsid w:val="001C4DE2"/>
    <w:pPr>
      <w:framePr w:w="4649" w:h="1418" w:hRule="exact" w:wrap="around" w:vAnchor="page" w:hAnchor="page" w:x="1419" w:y="3687"/>
      <w:spacing w:before="60" w:after="240"/>
    </w:pPr>
    <w:rPr>
      <w:sz w:val="16"/>
    </w:rPr>
  </w:style>
  <w:style w:type="table" w:styleId="Tabelraster">
    <w:name w:val="Table Grid"/>
    <w:basedOn w:val="Standaardtabel"/>
    <w:rsid w:val="001C4DE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Punt">
    <w:name w:val="AgendaPunt"/>
    <w:basedOn w:val="Standaard"/>
    <w:next w:val="Standaard"/>
    <w:rsid w:val="001C4DE2"/>
  </w:style>
  <w:style w:type="paragraph" w:customStyle="1" w:styleId="PuntjeInspringtekst">
    <w:name w:val="PuntjeInspringtekst"/>
    <w:basedOn w:val="Standaard"/>
    <w:rsid w:val="001C4DE2"/>
    <w:pPr>
      <w:ind w:left="862"/>
    </w:pPr>
  </w:style>
  <w:style w:type="paragraph" w:customStyle="1" w:styleId="AgendaPuntSub">
    <w:name w:val="AgendaPuntSub"/>
    <w:basedOn w:val="Standaard"/>
    <w:next w:val="Standaard"/>
    <w:rsid w:val="001C4DE2"/>
  </w:style>
  <w:style w:type="paragraph" w:customStyle="1" w:styleId="Puntje">
    <w:name w:val="Puntje"/>
    <w:basedOn w:val="Kop3"/>
    <w:rsid w:val="001C4DE2"/>
    <w:pPr>
      <w:numPr>
        <w:numId w:val="13"/>
      </w:numPr>
      <w:spacing w:before="30"/>
    </w:pPr>
    <w:rPr>
      <w:i w:val="0"/>
    </w:rPr>
  </w:style>
  <w:style w:type="paragraph" w:styleId="Plattetekst">
    <w:name w:val="Body Text"/>
    <w:basedOn w:val="Standaard"/>
    <w:rsid w:val="001C4DE2"/>
    <w:pPr>
      <w:spacing w:after="120"/>
    </w:pPr>
  </w:style>
  <w:style w:type="paragraph" w:customStyle="1" w:styleId="Kopje">
    <w:name w:val="Kopje"/>
    <w:basedOn w:val="Standaard"/>
    <w:next w:val="Standaard"/>
    <w:rsid w:val="001C4DE2"/>
    <w:pPr>
      <w:keepNext/>
      <w:keepLines/>
    </w:pPr>
    <w:rPr>
      <w:b/>
    </w:rPr>
  </w:style>
  <w:style w:type="paragraph" w:customStyle="1" w:styleId="Standaard8regel14insprom">
    <w:name w:val="Standaard8regel14insprom"/>
    <w:basedOn w:val="Standaard8regel14"/>
    <w:rsid w:val="001C4DE2"/>
    <w:pPr>
      <w:tabs>
        <w:tab w:val="left" w:pos="1531"/>
      </w:tabs>
      <w:ind w:left="1531" w:hanging="1531"/>
    </w:pPr>
  </w:style>
  <w:style w:type="paragraph" w:customStyle="1" w:styleId="StandaardInspring">
    <w:name w:val="StandaardInspring"/>
    <w:basedOn w:val="Standaard"/>
    <w:rsid w:val="001C4DE2"/>
    <w:pPr>
      <w:tabs>
        <w:tab w:val="left" w:pos="862"/>
        <w:tab w:val="left" w:pos="1293"/>
      </w:tabs>
      <w:ind w:left="431"/>
    </w:pPr>
  </w:style>
  <w:style w:type="paragraph" w:customStyle="1" w:styleId="Nummering1">
    <w:name w:val="Nummering 1"/>
    <w:basedOn w:val="Standaard"/>
    <w:rsid w:val="001C4DE2"/>
    <w:pPr>
      <w:numPr>
        <w:numId w:val="16"/>
      </w:numPr>
    </w:pPr>
  </w:style>
  <w:style w:type="paragraph" w:styleId="Lijstalinea">
    <w:name w:val="List Paragraph"/>
    <w:basedOn w:val="Standaard"/>
    <w:uiPriority w:val="34"/>
    <w:qFormat/>
    <w:rsid w:val="00D31750"/>
    <w:pPr>
      <w:ind w:left="720"/>
      <w:contextualSpacing/>
    </w:pPr>
  </w:style>
  <w:style w:type="paragraph" w:styleId="Geenafstand">
    <w:name w:val="No Spacing"/>
    <w:uiPriority w:val="1"/>
    <w:qFormat/>
    <w:rsid w:val="007778FE"/>
    <w:rPr>
      <w:rFonts w:ascii="Verdana" w:hAnsi="Verdana"/>
    </w:rPr>
  </w:style>
  <w:style w:type="character" w:styleId="Hyperlink">
    <w:name w:val="Hyperlink"/>
    <w:basedOn w:val="Standaardalinea-lettertype"/>
    <w:uiPriority w:val="99"/>
    <w:unhideWhenUsed/>
    <w:rsid w:val="00DE1253"/>
    <w:rPr>
      <w:color w:val="0000FF"/>
      <w:u w:val="single"/>
    </w:rPr>
  </w:style>
  <w:style w:type="character" w:styleId="Verwijzingopmerking">
    <w:name w:val="annotation reference"/>
    <w:basedOn w:val="Standaardalinea-lettertype"/>
    <w:uiPriority w:val="99"/>
    <w:semiHidden/>
    <w:unhideWhenUsed/>
    <w:rsid w:val="00D3762A"/>
    <w:rPr>
      <w:sz w:val="16"/>
      <w:szCs w:val="16"/>
    </w:rPr>
  </w:style>
  <w:style w:type="paragraph" w:styleId="Tekstopmerking">
    <w:name w:val="annotation text"/>
    <w:basedOn w:val="Standaard"/>
    <w:link w:val="TekstopmerkingChar"/>
    <w:uiPriority w:val="99"/>
    <w:semiHidden/>
    <w:unhideWhenUsed/>
    <w:rsid w:val="00D3762A"/>
  </w:style>
  <w:style w:type="character" w:customStyle="1" w:styleId="TekstopmerkingChar">
    <w:name w:val="Tekst opmerking Char"/>
    <w:basedOn w:val="Standaardalinea-lettertype"/>
    <w:link w:val="Tekstopmerking"/>
    <w:uiPriority w:val="99"/>
    <w:semiHidden/>
    <w:rsid w:val="00D3762A"/>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D3762A"/>
    <w:rPr>
      <w:b/>
      <w:bCs/>
    </w:rPr>
  </w:style>
  <w:style w:type="character" w:customStyle="1" w:styleId="OnderwerpvanopmerkingChar">
    <w:name w:val="Onderwerp van opmerking Char"/>
    <w:basedOn w:val="TekstopmerkingChar"/>
    <w:link w:val="Onderwerpvanopmerking"/>
    <w:uiPriority w:val="99"/>
    <w:semiHidden/>
    <w:rsid w:val="00D3762A"/>
    <w:rPr>
      <w:b/>
      <w:bCs/>
    </w:rPr>
  </w:style>
  <w:style w:type="character" w:customStyle="1" w:styleId="VoettekstChar">
    <w:name w:val="Voettekst Char"/>
    <w:basedOn w:val="Standaardalinea-lettertype"/>
    <w:link w:val="Voettekst"/>
    <w:uiPriority w:val="99"/>
    <w:rsid w:val="00A77693"/>
    <w:rPr>
      <w:rFonts w:ascii="Verdana" w:hAnsi="Verdana"/>
    </w:rPr>
  </w:style>
</w:styles>
</file>

<file path=word/webSettings.xml><?xml version="1.0" encoding="utf-8"?>
<w:webSettings xmlns:r="http://schemas.openxmlformats.org/officeDocument/2006/relationships" xmlns:w="http://schemas.openxmlformats.org/wordprocessingml/2006/main">
  <w:divs>
    <w:div w:id="1958557580">
      <w:bodyDiv w:val="1"/>
      <w:marLeft w:val="0"/>
      <w:marRight w:val="0"/>
      <w:marTop w:val="0"/>
      <w:marBottom w:val="0"/>
      <w:divBdr>
        <w:top w:val="none" w:sz="0" w:space="0" w:color="auto"/>
        <w:left w:val="none" w:sz="0" w:space="0" w:color="auto"/>
        <w:bottom w:val="none" w:sz="0" w:space="0" w:color="auto"/>
        <w:right w:val="none" w:sz="0" w:space="0" w:color="auto"/>
      </w:divBdr>
      <w:divsChild>
        <w:div w:id="1244215563">
          <w:marLeft w:val="547"/>
          <w:marRight w:val="0"/>
          <w:marTop w:val="77"/>
          <w:marBottom w:val="0"/>
          <w:divBdr>
            <w:top w:val="none" w:sz="0" w:space="0" w:color="auto"/>
            <w:left w:val="none" w:sz="0" w:space="0" w:color="auto"/>
            <w:bottom w:val="none" w:sz="0" w:space="0" w:color="auto"/>
            <w:right w:val="none" w:sz="0" w:space="0" w:color="auto"/>
          </w:divBdr>
        </w:div>
        <w:div w:id="1324240047">
          <w:marLeft w:val="547"/>
          <w:marRight w:val="0"/>
          <w:marTop w:val="77"/>
          <w:marBottom w:val="0"/>
          <w:divBdr>
            <w:top w:val="none" w:sz="0" w:space="0" w:color="auto"/>
            <w:left w:val="none" w:sz="0" w:space="0" w:color="auto"/>
            <w:bottom w:val="none" w:sz="0" w:space="0" w:color="auto"/>
            <w:right w:val="none" w:sz="0" w:space="0" w:color="auto"/>
          </w:divBdr>
        </w:div>
        <w:div w:id="200312296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gn-fp01\Vrolings\huisstijlVgn\Sjablonen\VGNVoorlegg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87B3-6509-42BD-BB3E-6032265D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VGNVoorlegger.dot</Template>
  <TotalTime>180</TotalTime>
  <Pages>6</Pages>
  <Words>2370</Words>
  <Characters>13012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Voorlegger</vt:lpstr>
    </vt:vector>
  </TitlesOfParts>
  <Company>Advisie Automatisering</Company>
  <LinksUpToDate>false</LinksUpToDate>
  <CharactersWithSpaces>15352</CharactersWithSpaces>
  <SharedDoc>false</SharedDoc>
  <HLinks>
    <vt:vector size="6" baseType="variant">
      <vt:variant>
        <vt:i4>6619222</vt:i4>
      </vt:variant>
      <vt:variant>
        <vt:i4>0</vt:i4>
      </vt:variant>
      <vt:variant>
        <vt:i4>0</vt:i4>
      </vt:variant>
      <vt:variant>
        <vt:i4>5</vt:i4>
      </vt:variant>
      <vt:variant>
        <vt:lpwstr>mailto:tdonga@vgn.org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Voorlegger</dc:title>
  <dc:subject/>
  <dc:creator>cduisters</dc:creator>
  <cp:keywords/>
  <cp:lastModifiedBy>samakrane</cp:lastModifiedBy>
  <cp:revision>26</cp:revision>
  <cp:lastPrinted>2010-10-21T07:40:00Z</cp:lastPrinted>
  <dcterms:created xsi:type="dcterms:W3CDTF">2010-10-20T08:02:00Z</dcterms:created>
  <dcterms:modified xsi:type="dcterms:W3CDTF">2010-10-21T10:25:00Z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t:lpwstr>Voorlegger</vt:lpwstr>
  </property>
  <property fmtid="{D5CDD505-2E9C-101B-9397-08002B2CF9AE}" pid="3" name="Naam">
    <vt:lpwstr>mw. C. (Cindy) Duisters</vt:lpwstr>
  </property>
  <property fmtid="{D5CDD505-2E9C-101B-9397-08002B2CF9AE}" pid="4" name="Functie">
    <vt:lpwstr>Secretaresse</vt:lpwstr>
  </property>
  <property fmtid="{D5CDD505-2E9C-101B-9397-08002B2CF9AE}" pid="5" name="Initialen">
    <vt:lpwstr>CDU</vt:lpwstr>
  </property>
  <property fmtid="{D5CDD505-2E9C-101B-9397-08002B2CF9AE}" pid="6" name="Nummer">
    <vt:lpwstr>0790</vt:lpwstr>
  </property>
  <property fmtid="{D5CDD505-2E9C-101B-9397-08002B2CF9AE}" pid="7" name="Kenmerk">
    <vt:lpwstr>Vo220709CDU0790</vt:lpwstr>
  </property>
  <property fmtid="{D5CDD505-2E9C-101B-9397-08002B2CF9AE}" pid="8" name="Onderwerp">
    <vt:lpwstr>Bestuur VGN</vt:lpwstr>
  </property>
  <property fmtid="{D5CDD505-2E9C-101B-9397-08002B2CF9AE}" pid="9" name="Doc.Datum">
    <vt:filetime>1899-12-29T22:00:00Z</vt:filetime>
  </property>
  <property fmtid="{D5CDD505-2E9C-101B-9397-08002B2CF9AE}" pid="10" name="AanmaakDatum">
    <vt:filetime>2009-07-21T22:00:00Z</vt:filetime>
  </property>
  <property fmtid="{D5CDD505-2E9C-101B-9397-08002B2CF9AE}" pid="11" name="Eigenafdeling">
    <vt:lpwstr>S&amp;F</vt:lpwstr>
  </property>
</Properties>
</file>