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64" w:rsidRPr="0023452A" w:rsidRDefault="00EB2D78" w:rsidP="00765DBF">
      <w:pPr>
        <w:rPr>
          <w:b/>
        </w:rPr>
      </w:pPr>
      <w:r w:rsidRPr="00EB2D78">
        <w:rPr>
          <w:noProof/>
        </w:rPr>
        <w:pict>
          <v:shapetype id="_x0000_t202" coordsize="21600,21600" o:spt="202" path="m,l,21600r21600,l21600,xe">
            <v:stroke joinstyle="miter"/>
            <v:path gradientshapeok="t" o:connecttype="rect"/>
          </v:shapetype>
          <v:shape id="_x0000_s1048" type="#_x0000_t202" style="position:absolute;margin-left:70.9pt;margin-top:43.65pt;width:191.1pt;height:23.25pt;z-index:251657728;mso-position-horizontal-relative:page;mso-position-vertical-relative:page" filled="f" stroked="f">
            <v:textbox style="mso-next-textbox:#_x0000_s1048" inset="0,0,0,0">
              <w:txbxContent>
                <w:p w:rsidR="00637BE6" w:rsidRPr="00C246AD" w:rsidRDefault="00FC3564">
                  <w:pPr>
                    <w:pStyle w:val="Documenttitel"/>
                  </w:pPr>
                  <w:r>
                    <w:t>Bijlage</w:t>
                  </w:r>
                  <w:r w:rsidR="00637BE6">
                    <w:t xml:space="preserve"> </w:t>
                  </w:r>
                  <w:bookmarkStart w:id="0" w:name="txtBijlageTitel"/>
                  <w:r w:rsidR="00637BE6">
                    <w:t xml:space="preserve"> </w:t>
                  </w:r>
                  <w:bookmarkEnd w:id="0"/>
                </w:p>
              </w:txbxContent>
            </v:textbox>
            <w10:wrap anchorx="page" anchory="page"/>
          </v:shape>
        </w:pict>
      </w:r>
      <w:bookmarkStart w:id="1" w:name="bijlagetekst"/>
      <w:bookmarkEnd w:id="1"/>
    </w:p>
    <w:p w:rsidR="00042164" w:rsidRPr="0023452A" w:rsidRDefault="00042164" w:rsidP="00765DBF">
      <w:pPr>
        <w:rPr>
          <w:b/>
        </w:rPr>
      </w:pPr>
    </w:p>
    <w:p w:rsidR="00042164" w:rsidRPr="0023452A" w:rsidRDefault="00042164" w:rsidP="00765DBF">
      <w:pPr>
        <w:rPr>
          <w:b/>
        </w:rPr>
      </w:pPr>
    </w:p>
    <w:p w:rsidR="00042164" w:rsidRPr="0023452A" w:rsidRDefault="00042164" w:rsidP="00765DBF">
      <w:pPr>
        <w:rPr>
          <w:b/>
        </w:rPr>
      </w:pPr>
    </w:p>
    <w:p w:rsidR="003104AD" w:rsidRPr="0023452A" w:rsidRDefault="003104AD" w:rsidP="00765DBF">
      <w:pPr>
        <w:rPr>
          <w:b/>
          <w:sz w:val="22"/>
          <w:szCs w:val="22"/>
        </w:rPr>
      </w:pPr>
    </w:p>
    <w:tbl>
      <w:tblPr>
        <w:tblW w:w="0" w:type="auto"/>
        <w:tblCellMar>
          <w:left w:w="0" w:type="dxa"/>
        </w:tblCellMar>
        <w:tblLook w:val="01E0"/>
      </w:tblPr>
      <w:tblGrid>
        <w:gridCol w:w="4522"/>
        <w:gridCol w:w="4374"/>
      </w:tblGrid>
      <w:tr w:rsidR="008E731A" w:rsidRPr="000714B6" w:rsidTr="009A06A8">
        <w:tc>
          <w:tcPr>
            <w:tcW w:w="4522" w:type="dxa"/>
          </w:tcPr>
          <w:p w:rsidR="008E731A" w:rsidRPr="000714B6" w:rsidRDefault="008E731A" w:rsidP="00765DBF">
            <w:pPr>
              <w:pStyle w:val="Standaard8regel14insprom"/>
            </w:pPr>
          </w:p>
        </w:tc>
        <w:tc>
          <w:tcPr>
            <w:tcW w:w="4374" w:type="dxa"/>
          </w:tcPr>
          <w:p w:rsidR="008E731A" w:rsidRPr="00A70814" w:rsidRDefault="008E731A" w:rsidP="00765DBF">
            <w:pPr>
              <w:pStyle w:val="Standaard8regel14insprom"/>
              <w:rPr>
                <w:b/>
                <w:bCs/>
              </w:rPr>
            </w:pPr>
            <w:r w:rsidRPr="000714B6">
              <w:tab/>
            </w:r>
          </w:p>
        </w:tc>
      </w:tr>
      <w:tr w:rsidR="008E731A" w:rsidRPr="00A70814" w:rsidTr="009A06A8">
        <w:tc>
          <w:tcPr>
            <w:tcW w:w="4522" w:type="dxa"/>
          </w:tcPr>
          <w:p w:rsidR="008E731A" w:rsidRPr="000714B6" w:rsidRDefault="008E731A" w:rsidP="00765DBF">
            <w:pPr>
              <w:pStyle w:val="Standaard8regel14insprom"/>
              <w:rPr>
                <w:b/>
                <w:bCs/>
              </w:rPr>
            </w:pPr>
            <w:bookmarkStart w:id="2" w:name="blwLabeldatum"/>
            <w:r w:rsidRPr="000714B6">
              <w:rPr>
                <w:b/>
                <w:bCs/>
              </w:rPr>
              <w:t>Datum</w:t>
            </w:r>
            <w:bookmarkEnd w:id="2"/>
            <w:r w:rsidRPr="000714B6">
              <w:t xml:space="preserve"> </w:t>
            </w:r>
            <w:r w:rsidRPr="000714B6">
              <w:tab/>
            </w:r>
            <w:r>
              <w:t>24 augustus 2010</w:t>
            </w:r>
          </w:p>
        </w:tc>
        <w:tc>
          <w:tcPr>
            <w:tcW w:w="4374" w:type="dxa"/>
          </w:tcPr>
          <w:p w:rsidR="008E731A" w:rsidRPr="00A70814" w:rsidRDefault="00FC3564" w:rsidP="00765DBF">
            <w:pPr>
              <w:pStyle w:val="Standaard8regel14insprom"/>
              <w:rPr>
                <w:b/>
                <w:bCs/>
              </w:rPr>
            </w:pPr>
            <w:r w:rsidRPr="000714B6">
              <w:rPr>
                <w:b/>
                <w:bCs/>
              </w:rPr>
              <w:t>Ons kenmerk</w:t>
            </w:r>
            <w:r>
              <w:rPr>
                <w:b/>
                <w:bCs/>
              </w:rPr>
              <w:t xml:space="preserve">      </w:t>
            </w:r>
            <w:r w:rsidRPr="00FC3564">
              <w:rPr>
                <w:bCs/>
              </w:rPr>
              <w:t>Bij</w:t>
            </w:r>
            <w:r>
              <w:rPr>
                <w:bCs/>
              </w:rPr>
              <w:t>25082010SA</w:t>
            </w:r>
          </w:p>
        </w:tc>
      </w:tr>
      <w:tr w:rsidR="008E731A" w:rsidRPr="008E731A" w:rsidTr="009A06A8">
        <w:tc>
          <w:tcPr>
            <w:tcW w:w="4522" w:type="dxa"/>
          </w:tcPr>
          <w:p w:rsidR="008E731A" w:rsidRPr="000714B6" w:rsidRDefault="008E731A" w:rsidP="00765DBF">
            <w:pPr>
              <w:pStyle w:val="Standaard8regel14insprom"/>
              <w:rPr>
                <w:b/>
                <w:bCs/>
              </w:rPr>
            </w:pPr>
            <w:r>
              <w:rPr>
                <w:b/>
                <w:bCs/>
              </w:rPr>
              <w:t>Onderwerp</w:t>
            </w:r>
            <w:r w:rsidRPr="000714B6">
              <w:rPr>
                <w:b/>
                <w:bCs/>
              </w:rPr>
              <w:tab/>
            </w:r>
            <w:r>
              <w:rPr>
                <w:bCs/>
              </w:rPr>
              <w:t>R</w:t>
            </w:r>
            <w:r w:rsidRPr="008E731A">
              <w:rPr>
                <w:bCs/>
              </w:rPr>
              <w:t>ichtsnoer NZa</w:t>
            </w:r>
            <w:r>
              <w:rPr>
                <w:bCs/>
              </w:rPr>
              <w:t xml:space="preserve"> </w:t>
            </w:r>
            <w:r w:rsidR="00290A83">
              <w:rPr>
                <w:bCs/>
              </w:rPr>
              <w:t>informatieverstrekking zorgaanbieders</w:t>
            </w:r>
          </w:p>
        </w:tc>
        <w:tc>
          <w:tcPr>
            <w:tcW w:w="4374" w:type="dxa"/>
          </w:tcPr>
          <w:p w:rsidR="008E731A" w:rsidRPr="008E731A" w:rsidRDefault="008E731A" w:rsidP="00765DBF">
            <w:pPr>
              <w:pStyle w:val="Standaard8regel14insprom"/>
              <w:rPr>
                <w:bCs/>
              </w:rPr>
            </w:pPr>
            <w:r w:rsidRPr="008E731A">
              <w:rPr>
                <w:b/>
                <w:bCs/>
              </w:rPr>
              <w:t>contact</w:t>
            </w:r>
            <w:r w:rsidRPr="008E731A">
              <w:rPr>
                <w:b/>
                <w:bCs/>
              </w:rPr>
              <w:tab/>
            </w:r>
            <w:r w:rsidRPr="008E731A">
              <w:rPr>
                <w:bCs/>
              </w:rPr>
              <w:t xml:space="preserve">mw. </w:t>
            </w:r>
            <w:r w:rsidR="00C710D5">
              <w:rPr>
                <w:bCs/>
              </w:rPr>
              <w:t>m</w:t>
            </w:r>
            <w:r w:rsidRPr="008E731A">
              <w:rPr>
                <w:bCs/>
              </w:rPr>
              <w:t xml:space="preserve">r. </w:t>
            </w:r>
            <w:r w:rsidR="00C710D5">
              <w:rPr>
                <w:bCs/>
              </w:rPr>
              <w:t xml:space="preserve">T.H.C. </w:t>
            </w:r>
            <w:r w:rsidRPr="008E731A">
              <w:rPr>
                <w:bCs/>
              </w:rPr>
              <w:t>(</w:t>
            </w:r>
            <w:r w:rsidR="00C710D5">
              <w:rPr>
                <w:bCs/>
              </w:rPr>
              <w:t>Tineke</w:t>
            </w:r>
            <w:r w:rsidRPr="008E731A">
              <w:rPr>
                <w:bCs/>
              </w:rPr>
              <w:t xml:space="preserve">) </w:t>
            </w:r>
            <w:r w:rsidR="00C710D5">
              <w:rPr>
                <w:bCs/>
              </w:rPr>
              <w:t>Donga</w:t>
            </w:r>
          </w:p>
        </w:tc>
      </w:tr>
      <w:tr w:rsidR="008E731A" w:rsidRPr="00BA1CBB" w:rsidTr="009A06A8">
        <w:tc>
          <w:tcPr>
            <w:tcW w:w="4522" w:type="dxa"/>
          </w:tcPr>
          <w:p w:rsidR="008E731A" w:rsidRPr="008E731A" w:rsidRDefault="008E731A" w:rsidP="00765DBF">
            <w:pPr>
              <w:pStyle w:val="Standaard8regel14insprom"/>
              <w:ind w:left="0" w:firstLine="0"/>
              <w:rPr>
                <w:b/>
                <w:bCs/>
              </w:rPr>
            </w:pPr>
            <w:bookmarkStart w:id="3" w:name="Voorleggertekst"/>
            <w:bookmarkStart w:id="4" w:name="blwVoorleggertekst"/>
            <w:bookmarkEnd w:id="3"/>
            <w:bookmarkEnd w:id="4"/>
          </w:p>
        </w:tc>
        <w:tc>
          <w:tcPr>
            <w:tcW w:w="4374" w:type="dxa"/>
          </w:tcPr>
          <w:p w:rsidR="008E731A" w:rsidRPr="00DB1130" w:rsidRDefault="008E731A" w:rsidP="00765DBF">
            <w:pPr>
              <w:pStyle w:val="Standaard8regel14insprom"/>
              <w:rPr>
                <w:b/>
                <w:bCs/>
              </w:rPr>
            </w:pPr>
          </w:p>
        </w:tc>
      </w:tr>
      <w:tr w:rsidR="003104AD" w:rsidRPr="0023452A" w:rsidTr="003104AD">
        <w:tc>
          <w:tcPr>
            <w:tcW w:w="4522" w:type="dxa"/>
          </w:tcPr>
          <w:p w:rsidR="003104AD" w:rsidRPr="0023452A" w:rsidRDefault="003104AD" w:rsidP="00765DBF">
            <w:pPr>
              <w:pStyle w:val="Standaard8regel14insprom"/>
              <w:rPr>
                <w:b/>
                <w:bCs/>
              </w:rPr>
            </w:pPr>
          </w:p>
        </w:tc>
        <w:tc>
          <w:tcPr>
            <w:tcW w:w="4374" w:type="dxa"/>
          </w:tcPr>
          <w:p w:rsidR="003104AD" w:rsidRPr="0023452A" w:rsidRDefault="003104AD" w:rsidP="00765DBF">
            <w:pPr>
              <w:pStyle w:val="Standaard8regel14Insprom2"/>
              <w:tabs>
                <w:tab w:val="clear" w:pos="1134"/>
                <w:tab w:val="left" w:pos="1088"/>
              </w:tabs>
              <w:rPr>
                <w:b/>
                <w:bCs/>
              </w:rPr>
            </w:pPr>
          </w:p>
        </w:tc>
      </w:tr>
    </w:tbl>
    <w:p w:rsidR="00C56E38" w:rsidRPr="0023452A" w:rsidRDefault="00C56E38" w:rsidP="00765DBF">
      <w:pPr>
        <w:rPr>
          <w:b/>
          <w:sz w:val="22"/>
          <w:szCs w:val="22"/>
        </w:rPr>
      </w:pPr>
    </w:p>
    <w:p w:rsidR="00E7016E" w:rsidRPr="003C6F4A" w:rsidRDefault="00BC668E" w:rsidP="00765DBF">
      <w:pPr>
        <w:pStyle w:val="Geenafstand"/>
        <w:spacing w:line="280" w:lineRule="atLeast"/>
        <w:rPr>
          <w:rFonts w:ascii="Verdana" w:hAnsi="Verdana"/>
          <w:b/>
          <w:color w:val="000000"/>
          <w:sz w:val="20"/>
          <w:szCs w:val="20"/>
        </w:rPr>
      </w:pPr>
      <w:r w:rsidRPr="003C6F4A">
        <w:rPr>
          <w:rFonts w:ascii="Verdana" w:hAnsi="Verdana"/>
          <w:b/>
          <w:color w:val="000000"/>
          <w:sz w:val="20"/>
          <w:szCs w:val="20"/>
        </w:rPr>
        <w:t xml:space="preserve">Reactie op concept </w:t>
      </w:r>
      <w:r w:rsidR="007429E2" w:rsidRPr="003C6F4A">
        <w:rPr>
          <w:rFonts w:ascii="Verdana" w:hAnsi="Verdana"/>
          <w:b/>
          <w:color w:val="000000"/>
          <w:sz w:val="20"/>
          <w:szCs w:val="20"/>
        </w:rPr>
        <w:t xml:space="preserve">richtsnoer informatieverstrekking </w:t>
      </w:r>
      <w:r w:rsidR="00290A83">
        <w:rPr>
          <w:rFonts w:ascii="Verdana" w:hAnsi="Verdana"/>
          <w:b/>
          <w:color w:val="000000"/>
          <w:sz w:val="20"/>
          <w:szCs w:val="20"/>
        </w:rPr>
        <w:t>zorgaanbieders</w:t>
      </w:r>
    </w:p>
    <w:p w:rsidR="007429E2" w:rsidRDefault="007429E2" w:rsidP="00765DBF">
      <w:pPr>
        <w:pStyle w:val="Geenafstand"/>
        <w:spacing w:line="280" w:lineRule="atLeast"/>
        <w:rPr>
          <w:rFonts w:ascii="Verdana" w:hAnsi="Verdana"/>
          <w:b/>
          <w:color w:val="000000"/>
          <w:sz w:val="20"/>
          <w:szCs w:val="20"/>
        </w:rPr>
      </w:pPr>
    </w:p>
    <w:p w:rsidR="00246285" w:rsidRPr="00246285" w:rsidRDefault="00246285" w:rsidP="00765DBF">
      <w:pPr>
        <w:pStyle w:val="Geenafstand"/>
        <w:spacing w:line="280" w:lineRule="atLeast"/>
        <w:rPr>
          <w:rFonts w:ascii="Verdana" w:hAnsi="Verdana"/>
          <w:color w:val="000000"/>
          <w:sz w:val="20"/>
          <w:szCs w:val="20"/>
        </w:rPr>
      </w:pPr>
      <w:r w:rsidRPr="00246285">
        <w:rPr>
          <w:rFonts w:ascii="Verdana" w:hAnsi="Verdana"/>
          <w:color w:val="000000"/>
          <w:sz w:val="20"/>
          <w:szCs w:val="20"/>
        </w:rPr>
        <w:t xml:space="preserve">Onderstaand </w:t>
      </w:r>
      <w:r>
        <w:rPr>
          <w:rFonts w:ascii="Verdana" w:hAnsi="Verdana"/>
          <w:color w:val="000000"/>
          <w:sz w:val="20"/>
          <w:szCs w:val="20"/>
        </w:rPr>
        <w:t xml:space="preserve">geven wij eerst een </w:t>
      </w:r>
      <w:r w:rsidRPr="00246285">
        <w:rPr>
          <w:rFonts w:ascii="Verdana" w:hAnsi="Verdana"/>
          <w:color w:val="000000"/>
          <w:sz w:val="20"/>
          <w:szCs w:val="20"/>
        </w:rPr>
        <w:t>alg</w:t>
      </w:r>
      <w:r>
        <w:rPr>
          <w:rFonts w:ascii="Verdana" w:hAnsi="Verdana"/>
          <w:color w:val="000000"/>
          <w:sz w:val="20"/>
          <w:szCs w:val="20"/>
        </w:rPr>
        <w:t>e</w:t>
      </w:r>
      <w:r w:rsidRPr="00246285">
        <w:rPr>
          <w:rFonts w:ascii="Verdana" w:hAnsi="Verdana"/>
          <w:color w:val="000000"/>
          <w:sz w:val="20"/>
          <w:szCs w:val="20"/>
        </w:rPr>
        <w:t xml:space="preserve">mene reactie en daar </w:t>
      </w:r>
      <w:r>
        <w:rPr>
          <w:rFonts w:ascii="Verdana" w:hAnsi="Verdana"/>
          <w:color w:val="000000"/>
          <w:sz w:val="20"/>
          <w:szCs w:val="20"/>
        </w:rPr>
        <w:t xml:space="preserve">volgt deze </w:t>
      </w:r>
      <w:r w:rsidRPr="00246285">
        <w:rPr>
          <w:rFonts w:ascii="Verdana" w:hAnsi="Verdana"/>
          <w:color w:val="000000"/>
          <w:sz w:val="20"/>
          <w:szCs w:val="20"/>
        </w:rPr>
        <w:t>specifiek op onderdelen</w:t>
      </w:r>
      <w:r>
        <w:rPr>
          <w:rFonts w:ascii="Verdana" w:hAnsi="Verdana"/>
          <w:color w:val="000000"/>
          <w:sz w:val="20"/>
          <w:szCs w:val="20"/>
        </w:rPr>
        <w:t>.</w:t>
      </w:r>
      <w:r w:rsidRPr="00246285">
        <w:rPr>
          <w:rFonts w:ascii="Verdana" w:hAnsi="Verdana"/>
          <w:color w:val="000000"/>
          <w:sz w:val="20"/>
          <w:szCs w:val="20"/>
        </w:rPr>
        <w:t xml:space="preserve"> </w:t>
      </w:r>
    </w:p>
    <w:p w:rsidR="00246285" w:rsidRDefault="00246285" w:rsidP="00765DBF">
      <w:pPr>
        <w:rPr>
          <w:b/>
          <w:color w:val="000000"/>
        </w:rPr>
      </w:pPr>
    </w:p>
    <w:p w:rsidR="00FE452C" w:rsidRPr="003C6F4A" w:rsidRDefault="009D4F04" w:rsidP="00765DBF">
      <w:pPr>
        <w:rPr>
          <w:b/>
          <w:color w:val="000000"/>
        </w:rPr>
      </w:pPr>
      <w:r w:rsidRPr="003C6F4A">
        <w:rPr>
          <w:b/>
          <w:color w:val="000000"/>
        </w:rPr>
        <w:t>Algemeen</w:t>
      </w:r>
    </w:p>
    <w:p w:rsidR="00B2029F" w:rsidRPr="003C6F4A" w:rsidRDefault="00B2029F" w:rsidP="00765DBF">
      <w:pPr>
        <w:rPr>
          <w:color w:val="000000"/>
        </w:rPr>
      </w:pPr>
      <w:r w:rsidRPr="003C6F4A">
        <w:rPr>
          <w:color w:val="000000"/>
        </w:rPr>
        <w:t xml:space="preserve">Uw </w:t>
      </w:r>
      <w:r w:rsidR="003D261E" w:rsidRPr="003C6F4A">
        <w:rPr>
          <w:color w:val="000000"/>
        </w:rPr>
        <w:t xml:space="preserve">NZa wil met dit richtsnoer </w:t>
      </w:r>
      <w:r w:rsidRPr="003C6F4A">
        <w:rPr>
          <w:color w:val="000000"/>
        </w:rPr>
        <w:t xml:space="preserve">een handvat geven aan zorgaanbieders om aan hun wettelijke informatieverplichtingen jegens hun cliënten te voldoen. Met name </w:t>
      </w:r>
      <w:r w:rsidR="003D261E" w:rsidRPr="003C6F4A">
        <w:rPr>
          <w:color w:val="000000"/>
        </w:rPr>
        <w:t xml:space="preserve">de open normen van artikel 38 en 39 van de Wet marktordening gezondheidszorg </w:t>
      </w:r>
      <w:r w:rsidRPr="003C6F4A">
        <w:rPr>
          <w:color w:val="000000"/>
        </w:rPr>
        <w:t>wil uw NZa c</w:t>
      </w:r>
      <w:r w:rsidR="003D261E" w:rsidRPr="003C6F4A">
        <w:rPr>
          <w:color w:val="000000"/>
        </w:rPr>
        <w:t>oncretiseren.</w:t>
      </w:r>
      <w:r w:rsidR="00A2081F">
        <w:rPr>
          <w:color w:val="000000"/>
        </w:rPr>
        <w:t xml:space="preserve"> </w:t>
      </w:r>
      <w:r w:rsidR="00EA043C" w:rsidRPr="003C6F4A">
        <w:rPr>
          <w:color w:val="000000"/>
        </w:rPr>
        <w:t>Voor aanbieders van gehandicaptenzorg zijn er geen nadere regels opgesteld, zodat dit</w:t>
      </w:r>
      <w:r w:rsidR="00A2081F">
        <w:rPr>
          <w:color w:val="000000"/>
        </w:rPr>
        <w:t xml:space="preserve"> </w:t>
      </w:r>
      <w:r w:rsidR="00EA043C" w:rsidRPr="003C6F4A">
        <w:rPr>
          <w:color w:val="000000"/>
        </w:rPr>
        <w:t>richtsnoer voor hen bepalend is voor de gestelde transparantie-eise</w:t>
      </w:r>
      <w:r w:rsidR="00A2081F">
        <w:rPr>
          <w:color w:val="000000"/>
        </w:rPr>
        <w:t xml:space="preserve">n. </w:t>
      </w:r>
    </w:p>
    <w:p w:rsidR="00EA043C" w:rsidRPr="003C6F4A" w:rsidRDefault="00EA043C" w:rsidP="00765DBF">
      <w:pPr>
        <w:rPr>
          <w:color w:val="000000"/>
        </w:rPr>
      </w:pPr>
    </w:p>
    <w:p w:rsidR="00C86281" w:rsidRDefault="00B2029F" w:rsidP="00765DBF">
      <w:pPr>
        <w:rPr>
          <w:color w:val="000000"/>
        </w:rPr>
      </w:pPr>
      <w:r w:rsidRPr="003C6F4A">
        <w:rPr>
          <w:color w:val="000000"/>
        </w:rPr>
        <w:t xml:space="preserve">Allereerst willen wij opmerken dat het </w:t>
      </w:r>
      <w:r w:rsidR="00A915C7" w:rsidRPr="003C6F4A">
        <w:rPr>
          <w:color w:val="000000"/>
        </w:rPr>
        <w:t xml:space="preserve">richtsnoer </w:t>
      </w:r>
      <w:r w:rsidR="00A539DF" w:rsidRPr="003C6F4A">
        <w:rPr>
          <w:color w:val="000000"/>
        </w:rPr>
        <w:t>geldt</w:t>
      </w:r>
      <w:r w:rsidR="003D261E" w:rsidRPr="003C6F4A">
        <w:rPr>
          <w:color w:val="000000"/>
        </w:rPr>
        <w:t xml:space="preserve"> voor alle zorgaanbieder</w:t>
      </w:r>
      <w:r w:rsidR="00012892" w:rsidRPr="003C6F4A">
        <w:rPr>
          <w:color w:val="000000"/>
        </w:rPr>
        <w:t>s</w:t>
      </w:r>
      <w:r w:rsidRPr="003C6F4A">
        <w:rPr>
          <w:color w:val="000000"/>
        </w:rPr>
        <w:t xml:space="preserve">, waarbij wij </w:t>
      </w:r>
      <w:r w:rsidR="00012892" w:rsidRPr="003C6F4A">
        <w:rPr>
          <w:color w:val="000000"/>
        </w:rPr>
        <w:t xml:space="preserve">geen </w:t>
      </w:r>
      <w:r w:rsidR="00BC7F71" w:rsidRPr="003C6F4A">
        <w:rPr>
          <w:color w:val="000000"/>
        </w:rPr>
        <w:t xml:space="preserve">expliciet </w:t>
      </w:r>
      <w:r w:rsidR="00012892" w:rsidRPr="003C6F4A">
        <w:rPr>
          <w:color w:val="000000"/>
        </w:rPr>
        <w:t xml:space="preserve">onderscheid </w:t>
      </w:r>
      <w:r w:rsidR="00A915C7" w:rsidRPr="003C6F4A">
        <w:rPr>
          <w:color w:val="000000"/>
        </w:rPr>
        <w:t xml:space="preserve">zien </w:t>
      </w:r>
      <w:r w:rsidR="00012892" w:rsidRPr="003C6F4A">
        <w:rPr>
          <w:color w:val="000000"/>
        </w:rPr>
        <w:t xml:space="preserve">naar </w:t>
      </w:r>
      <w:r w:rsidR="00A915C7" w:rsidRPr="003C6F4A">
        <w:rPr>
          <w:color w:val="000000"/>
        </w:rPr>
        <w:t xml:space="preserve">de diverse </w:t>
      </w:r>
      <w:r w:rsidR="00012892" w:rsidRPr="003C6F4A">
        <w:rPr>
          <w:color w:val="000000"/>
        </w:rPr>
        <w:t>sectoren</w:t>
      </w:r>
      <w:r w:rsidR="00A915C7" w:rsidRPr="003C6F4A">
        <w:rPr>
          <w:color w:val="000000"/>
        </w:rPr>
        <w:t>,</w:t>
      </w:r>
      <w:r w:rsidR="00012892" w:rsidRPr="003C6F4A">
        <w:rPr>
          <w:color w:val="000000"/>
        </w:rPr>
        <w:t xml:space="preserve"> </w:t>
      </w:r>
      <w:r w:rsidRPr="003C6F4A">
        <w:rPr>
          <w:color w:val="000000"/>
        </w:rPr>
        <w:t xml:space="preserve">noch naar het transitieproces waarin de sectoren zich bevinden. Bij de concretisering speelt dit naar onze mening wel een rol. </w:t>
      </w:r>
      <w:r w:rsidR="00A915C7" w:rsidRPr="003C6F4A">
        <w:rPr>
          <w:color w:val="000000"/>
        </w:rPr>
        <w:t xml:space="preserve">Sommige sectoren kennen vrije prijzen en hebben cliënten </w:t>
      </w:r>
      <w:r w:rsidR="00F60075">
        <w:rPr>
          <w:color w:val="000000"/>
        </w:rPr>
        <w:t xml:space="preserve">geheel de </w:t>
      </w:r>
      <w:r w:rsidR="00A915C7" w:rsidRPr="003C6F4A">
        <w:rPr>
          <w:color w:val="000000"/>
        </w:rPr>
        <w:t xml:space="preserve">vrije keuze. </w:t>
      </w:r>
      <w:r w:rsidRPr="003C6F4A">
        <w:rPr>
          <w:color w:val="000000"/>
        </w:rPr>
        <w:t xml:space="preserve">In de gehandicaptenzorg is </w:t>
      </w:r>
      <w:r w:rsidR="003B64F0">
        <w:rPr>
          <w:color w:val="000000"/>
        </w:rPr>
        <w:t xml:space="preserve">dit geheel anders. De </w:t>
      </w:r>
      <w:r w:rsidR="00C06217">
        <w:rPr>
          <w:color w:val="000000"/>
        </w:rPr>
        <w:t xml:space="preserve">keuzevrijheid </w:t>
      </w:r>
      <w:r w:rsidR="00C86281">
        <w:rPr>
          <w:color w:val="000000"/>
        </w:rPr>
        <w:t>van cliënt</w:t>
      </w:r>
      <w:r w:rsidR="00F31965">
        <w:rPr>
          <w:color w:val="000000"/>
        </w:rPr>
        <w:t>en</w:t>
      </w:r>
      <w:r w:rsidR="00C86281">
        <w:rPr>
          <w:color w:val="000000"/>
        </w:rPr>
        <w:t xml:space="preserve"> </w:t>
      </w:r>
      <w:r w:rsidR="00C06217">
        <w:rPr>
          <w:color w:val="000000"/>
        </w:rPr>
        <w:t xml:space="preserve">van aanbieders van gehandicaptenzorg </w:t>
      </w:r>
      <w:r w:rsidR="003B64F0">
        <w:rPr>
          <w:color w:val="000000"/>
        </w:rPr>
        <w:t xml:space="preserve">is </w:t>
      </w:r>
      <w:r w:rsidR="008F26B8">
        <w:rPr>
          <w:color w:val="000000"/>
        </w:rPr>
        <w:t xml:space="preserve">zeer </w:t>
      </w:r>
      <w:r w:rsidR="003B64F0">
        <w:rPr>
          <w:color w:val="000000"/>
        </w:rPr>
        <w:t xml:space="preserve">beperkt. </w:t>
      </w:r>
      <w:r w:rsidR="008F26B8">
        <w:rPr>
          <w:color w:val="000000"/>
        </w:rPr>
        <w:t xml:space="preserve">Dit </w:t>
      </w:r>
      <w:r w:rsidR="00F31965">
        <w:rPr>
          <w:color w:val="000000"/>
        </w:rPr>
        <w:t xml:space="preserve">komt omdat </w:t>
      </w:r>
      <w:r w:rsidR="008F26B8">
        <w:rPr>
          <w:color w:val="000000"/>
        </w:rPr>
        <w:t>de zorg</w:t>
      </w:r>
      <w:r w:rsidR="00A915C7" w:rsidRPr="003C6F4A">
        <w:rPr>
          <w:color w:val="000000"/>
        </w:rPr>
        <w:t xml:space="preserve">inkoop </w:t>
      </w:r>
      <w:r w:rsidR="008F26B8">
        <w:rPr>
          <w:color w:val="000000"/>
        </w:rPr>
        <w:t xml:space="preserve">gebeurt </w:t>
      </w:r>
      <w:r w:rsidR="00A915C7" w:rsidRPr="003C6F4A">
        <w:rPr>
          <w:color w:val="000000"/>
        </w:rPr>
        <w:t xml:space="preserve">door </w:t>
      </w:r>
      <w:r w:rsidR="00267695" w:rsidRPr="003C6F4A">
        <w:rPr>
          <w:color w:val="000000"/>
        </w:rPr>
        <w:t xml:space="preserve">de </w:t>
      </w:r>
      <w:r w:rsidR="00A915C7" w:rsidRPr="003C6F4A">
        <w:rPr>
          <w:color w:val="000000"/>
        </w:rPr>
        <w:t>zorgkantoren</w:t>
      </w:r>
      <w:r w:rsidR="00F60075">
        <w:rPr>
          <w:color w:val="000000"/>
        </w:rPr>
        <w:t xml:space="preserve"> </w:t>
      </w:r>
      <w:r w:rsidR="003B64F0">
        <w:rPr>
          <w:color w:val="000000"/>
        </w:rPr>
        <w:t xml:space="preserve">die een monopsonistische marktmacht hebben. De zorgkantoren dicteren via ‘pseudo’-aanbestedingen hun </w:t>
      </w:r>
      <w:r w:rsidR="00F31965">
        <w:rPr>
          <w:color w:val="000000"/>
        </w:rPr>
        <w:t xml:space="preserve">diverse </w:t>
      </w:r>
      <w:r w:rsidR="003B64F0">
        <w:rPr>
          <w:color w:val="000000"/>
        </w:rPr>
        <w:t>kwaliteitseisen en het tarief aan aanbieders van gehandicaptenzorg.</w:t>
      </w:r>
      <w:r w:rsidR="008F26B8" w:rsidRPr="008F26B8">
        <w:rPr>
          <w:color w:val="000000"/>
        </w:rPr>
        <w:t xml:space="preserve"> </w:t>
      </w:r>
      <w:r w:rsidR="008F26B8">
        <w:rPr>
          <w:color w:val="000000"/>
        </w:rPr>
        <w:t>D</w:t>
      </w:r>
      <w:r w:rsidR="00C86281">
        <w:rPr>
          <w:color w:val="000000"/>
        </w:rPr>
        <w:t xml:space="preserve">it alles onder een regime </w:t>
      </w:r>
      <w:r w:rsidR="008F26B8" w:rsidRPr="003C6F4A">
        <w:rPr>
          <w:color w:val="000000"/>
        </w:rPr>
        <w:t>van regulering van de tarieven door uw NZa</w:t>
      </w:r>
      <w:r w:rsidR="00C86281">
        <w:rPr>
          <w:color w:val="000000"/>
        </w:rPr>
        <w:t xml:space="preserve">. </w:t>
      </w:r>
      <w:r w:rsidR="008F26B8">
        <w:rPr>
          <w:color w:val="000000"/>
        </w:rPr>
        <w:t xml:space="preserve">Wij vinden dat </w:t>
      </w:r>
      <w:r w:rsidR="00C86281">
        <w:rPr>
          <w:color w:val="000000"/>
        </w:rPr>
        <w:t>onder deze ‘marktomstandigheden’ deze verplichtingen van het richtsnoer voor de gehandicaptensector buiten werking moeten blijven</w:t>
      </w:r>
      <w:r w:rsidR="00F31965">
        <w:rPr>
          <w:color w:val="000000"/>
        </w:rPr>
        <w:t xml:space="preserve">. </w:t>
      </w:r>
      <w:r w:rsidR="00C06217">
        <w:rPr>
          <w:color w:val="000000"/>
        </w:rPr>
        <w:t xml:space="preserve">Wij bepleiten dat </w:t>
      </w:r>
      <w:r w:rsidR="00C86281">
        <w:rPr>
          <w:color w:val="000000"/>
        </w:rPr>
        <w:t xml:space="preserve">uw NZa </w:t>
      </w:r>
      <w:r w:rsidR="00C06217">
        <w:rPr>
          <w:color w:val="000000"/>
        </w:rPr>
        <w:t xml:space="preserve">dan ook </w:t>
      </w:r>
      <w:r w:rsidR="00C86281">
        <w:rPr>
          <w:color w:val="000000"/>
        </w:rPr>
        <w:t xml:space="preserve">op maat toezicht houdt. </w:t>
      </w:r>
    </w:p>
    <w:p w:rsidR="00C86281" w:rsidRDefault="00C86281" w:rsidP="00765DBF">
      <w:pPr>
        <w:rPr>
          <w:color w:val="000000"/>
        </w:rPr>
      </w:pPr>
    </w:p>
    <w:p w:rsidR="009C788B" w:rsidRPr="003C6F4A" w:rsidRDefault="00B2029F" w:rsidP="00765DBF">
      <w:pPr>
        <w:rPr>
          <w:color w:val="000000"/>
        </w:rPr>
      </w:pPr>
      <w:r w:rsidRPr="003C6F4A">
        <w:rPr>
          <w:color w:val="000000"/>
        </w:rPr>
        <w:t xml:space="preserve">Het </w:t>
      </w:r>
      <w:r w:rsidR="00A915C7" w:rsidRPr="003C6F4A">
        <w:rPr>
          <w:color w:val="000000"/>
        </w:rPr>
        <w:t xml:space="preserve">richtsnoer </w:t>
      </w:r>
      <w:r w:rsidR="00012892" w:rsidRPr="003C6F4A">
        <w:rPr>
          <w:color w:val="000000"/>
        </w:rPr>
        <w:t xml:space="preserve">veronderstelt handvaten te geven aan </w:t>
      </w:r>
      <w:r w:rsidR="00A915C7" w:rsidRPr="003C6F4A">
        <w:rPr>
          <w:color w:val="000000"/>
        </w:rPr>
        <w:t xml:space="preserve">alle </w:t>
      </w:r>
      <w:r w:rsidR="00012892" w:rsidRPr="003C6F4A">
        <w:rPr>
          <w:color w:val="000000"/>
        </w:rPr>
        <w:t>aanbieders</w:t>
      </w:r>
      <w:r w:rsidR="005754E0" w:rsidRPr="003C6F4A">
        <w:rPr>
          <w:color w:val="000000"/>
        </w:rPr>
        <w:t xml:space="preserve">, maar is inhoudelijk </w:t>
      </w:r>
      <w:r w:rsidR="008E335B" w:rsidRPr="003C6F4A">
        <w:rPr>
          <w:color w:val="000000"/>
        </w:rPr>
        <w:t>wat mager</w:t>
      </w:r>
      <w:r w:rsidR="00267695" w:rsidRPr="003C6F4A">
        <w:rPr>
          <w:color w:val="000000"/>
        </w:rPr>
        <w:t xml:space="preserve">. </w:t>
      </w:r>
      <w:r w:rsidR="000E6FF4" w:rsidRPr="003C6F4A">
        <w:rPr>
          <w:color w:val="000000"/>
        </w:rPr>
        <w:t xml:space="preserve">Wij </w:t>
      </w:r>
      <w:r w:rsidR="005754E0" w:rsidRPr="003C6F4A">
        <w:rPr>
          <w:color w:val="000000"/>
        </w:rPr>
        <w:t xml:space="preserve">vinden </w:t>
      </w:r>
      <w:r w:rsidR="000E6FF4" w:rsidRPr="003C6F4A">
        <w:rPr>
          <w:color w:val="000000"/>
        </w:rPr>
        <w:t>dat, mogelijk a</w:t>
      </w:r>
      <w:r w:rsidR="009C788B" w:rsidRPr="003C6F4A">
        <w:rPr>
          <w:color w:val="000000"/>
        </w:rPr>
        <w:t xml:space="preserve">ls gevolg </w:t>
      </w:r>
      <w:r w:rsidR="00267695" w:rsidRPr="003C6F4A">
        <w:rPr>
          <w:color w:val="000000"/>
        </w:rPr>
        <w:t xml:space="preserve">van </w:t>
      </w:r>
      <w:r w:rsidR="009C788B" w:rsidRPr="003C6F4A">
        <w:rPr>
          <w:color w:val="000000"/>
        </w:rPr>
        <w:t>die algemene strekking</w:t>
      </w:r>
      <w:r w:rsidR="000E6FF4" w:rsidRPr="003C6F4A">
        <w:rPr>
          <w:color w:val="000000"/>
        </w:rPr>
        <w:t xml:space="preserve">, </w:t>
      </w:r>
      <w:r w:rsidR="00267695" w:rsidRPr="003C6F4A">
        <w:rPr>
          <w:color w:val="000000"/>
        </w:rPr>
        <w:t xml:space="preserve">niet </w:t>
      </w:r>
      <w:r w:rsidR="000E6FF4" w:rsidRPr="003C6F4A">
        <w:rPr>
          <w:color w:val="000000"/>
        </w:rPr>
        <w:t xml:space="preserve">alle </w:t>
      </w:r>
      <w:r w:rsidR="009C788B" w:rsidRPr="003C6F4A">
        <w:rPr>
          <w:color w:val="000000"/>
        </w:rPr>
        <w:t xml:space="preserve">helderheid geboden </w:t>
      </w:r>
      <w:r w:rsidR="000E6FF4" w:rsidRPr="003C6F4A">
        <w:rPr>
          <w:color w:val="000000"/>
        </w:rPr>
        <w:t xml:space="preserve">wordt voor </w:t>
      </w:r>
      <w:r w:rsidR="00012892" w:rsidRPr="003C6F4A">
        <w:rPr>
          <w:color w:val="000000"/>
        </w:rPr>
        <w:t>aanbieders van gehandicaptenzorg</w:t>
      </w:r>
      <w:r w:rsidR="009C788B" w:rsidRPr="003C6F4A">
        <w:rPr>
          <w:color w:val="000000"/>
        </w:rPr>
        <w:t xml:space="preserve">. </w:t>
      </w:r>
    </w:p>
    <w:p w:rsidR="009C788B" w:rsidRPr="003C6F4A" w:rsidRDefault="009C788B" w:rsidP="00765DBF">
      <w:pPr>
        <w:rPr>
          <w:color w:val="000000"/>
        </w:rPr>
      </w:pPr>
    </w:p>
    <w:p w:rsidR="00FC3564" w:rsidRDefault="00012892" w:rsidP="00765DBF">
      <w:pPr>
        <w:rPr>
          <w:color w:val="000000"/>
        </w:rPr>
      </w:pPr>
      <w:r w:rsidRPr="003C6F4A">
        <w:rPr>
          <w:color w:val="000000"/>
        </w:rPr>
        <w:t xml:space="preserve">Het </w:t>
      </w:r>
      <w:r w:rsidR="00357AD9" w:rsidRPr="003C6F4A">
        <w:rPr>
          <w:color w:val="000000"/>
        </w:rPr>
        <w:t>verstrekken van juiste informatie</w:t>
      </w:r>
      <w:r w:rsidR="007345D6" w:rsidRPr="003C6F4A">
        <w:rPr>
          <w:color w:val="000000"/>
        </w:rPr>
        <w:t xml:space="preserve"> </w:t>
      </w:r>
      <w:r w:rsidR="00881E2B" w:rsidRPr="003C6F4A">
        <w:rPr>
          <w:color w:val="000000"/>
        </w:rPr>
        <w:t xml:space="preserve">is </w:t>
      </w:r>
      <w:r w:rsidR="00357AD9" w:rsidRPr="003C6F4A">
        <w:rPr>
          <w:color w:val="000000"/>
        </w:rPr>
        <w:t>voor zorga</w:t>
      </w:r>
      <w:r w:rsidR="00DB4FE0" w:rsidRPr="003C6F4A">
        <w:rPr>
          <w:color w:val="000000"/>
        </w:rPr>
        <w:t xml:space="preserve">anbieders van gehandicaptenzorg </w:t>
      </w:r>
      <w:r w:rsidR="00357AD9" w:rsidRPr="003C6F4A">
        <w:rPr>
          <w:color w:val="000000"/>
        </w:rPr>
        <w:t>een lastige opgave</w:t>
      </w:r>
      <w:r w:rsidR="00881E2B" w:rsidRPr="003C6F4A">
        <w:rPr>
          <w:color w:val="000000"/>
        </w:rPr>
        <w:t>,</w:t>
      </w:r>
      <w:r w:rsidR="00DB4FE0" w:rsidRPr="003C6F4A">
        <w:rPr>
          <w:color w:val="000000"/>
        </w:rPr>
        <w:t xml:space="preserve"> </w:t>
      </w:r>
      <w:r w:rsidR="00EC3920" w:rsidRPr="003C6F4A">
        <w:rPr>
          <w:color w:val="000000"/>
        </w:rPr>
        <w:t xml:space="preserve">als </w:t>
      </w:r>
      <w:r w:rsidR="00881E2B" w:rsidRPr="003C6F4A">
        <w:rPr>
          <w:color w:val="000000"/>
        </w:rPr>
        <w:t xml:space="preserve">het </w:t>
      </w:r>
      <w:r w:rsidR="00DB4FE0" w:rsidRPr="003C6F4A">
        <w:rPr>
          <w:color w:val="000000"/>
        </w:rPr>
        <w:t xml:space="preserve">gaat over </w:t>
      </w:r>
      <w:r w:rsidR="00357AD9" w:rsidRPr="003C6F4A">
        <w:rPr>
          <w:color w:val="000000"/>
        </w:rPr>
        <w:t>de</w:t>
      </w:r>
      <w:r w:rsidR="00EC3920" w:rsidRPr="003C6F4A">
        <w:rPr>
          <w:color w:val="000000"/>
        </w:rPr>
        <w:t xml:space="preserve"> omvang van de </w:t>
      </w:r>
      <w:r w:rsidR="009C788B" w:rsidRPr="003C6F4A">
        <w:rPr>
          <w:color w:val="000000"/>
        </w:rPr>
        <w:t>AWBZ-</w:t>
      </w:r>
      <w:r w:rsidR="00CE42FC" w:rsidRPr="003C6F4A">
        <w:rPr>
          <w:color w:val="000000"/>
        </w:rPr>
        <w:t xml:space="preserve">verzekerde </w:t>
      </w:r>
      <w:r w:rsidR="00EC3920" w:rsidRPr="003C6F4A">
        <w:rPr>
          <w:color w:val="000000"/>
        </w:rPr>
        <w:t>zorg</w:t>
      </w:r>
      <w:r w:rsidR="00DB4FE0" w:rsidRPr="003C6F4A">
        <w:rPr>
          <w:color w:val="000000"/>
        </w:rPr>
        <w:t>.</w:t>
      </w:r>
      <w:r w:rsidR="00EC3920" w:rsidRPr="003C6F4A">
        <w:rPr>
          <w:color w:val="000000"/>
        </w:rPr>
        <w:t xml:space="preserve"> </w:t>
      </w: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826F9B" w:rsidRDefault="00357AD9" w:rsidP="00765DBF">
      <w:pPr>
        <w:rPr>
          <w:color w:val="000000"/>
        </w:rPr>
      </w:pPr>
      <w:r w:rsidRPr="003C6F4A">
        <w:rPr>
          <w:color w:val="000000"/>
        </w:rPr>
        <w:t>De ‘</w:t>
      </w:r>
      <w:proofErr w:type="spellStart"/>
      <w:r w:rsidRPr="003C6F4A">
        <w:rPr>
          <w:color w:val="000000"/>
        </w:rPr>
        <w:t>AWBZ-polis</w:t>
      </w:r>
      <w:proofErr w:type="spellEnd"/>
      <w:r w:rsidRPr="003C6F4A">
        <w:rPr>
          <w:color w:val="000000"/>
        </w:rPr>
        <w:t>’ is</w:t>
      </w:r>
      <w:r w:rsidR="00EC3920" w:rsidRPr="003C6F4A">
        <w:rPr>
          <w:color w:val="000000"/>
        </w:rPr>
        <w:t xml:space="preserve"> n</w:t>
      </w:r>
      <w:r w:rsidRPr="003C6F4A">
        <w:rPr>
          <w:color w:val="000000"/>
        </w:rPr>
        <w:t>iet</w:t>
      </w:r>
      <w:r w:rsidR="00EC3920" w:rsidRPr="003C6F4A">
        <w:rPr>
          <w:color w:val="000000"/>
        </w:rPr>
        <w:t xml:space="preserve"> altijd glashelder. </w:t>
      </w:r>
      <w:r w:rsidR="00CE42FC" w:rsidRPr="003C6F4A">
        <w:rPr>
          <w:color w:val="000000"/>
        </w:rPr>
        <w:t xml:space="preserve">Daarbij </w:t>
      </w:r>
      <w:r w:rsidR="009C788B" w:rsidRPr="003C6F4A">
        <w:rPr>
          <w:color w:val="000000"/>
        </w:rPr>
        <w:t xml:space="preserve">speelt bijvoorbeeld dat er </w:t>
      </w:r>
      <w:r w:rsidR="00CE42FC" w:rsidRPr="003C6F4A">
        <w:rPr>
          <w:color w:val="000000"/>
        </w:rPr>
        <w:t xml:space="preserve">tijdens </w:t>
      </w:r>
      <w:r w:rsidR="00CC0160" w:rsidRPr="003C6F4A">
        <w:rPr>
          <w:color w:val="000000"/>
        </w:rPr>
        <w:t>het onderhoud</w:t>
      </w:r>
      <w:r w:rsidR="009C788B" w:rsidRPr="003C6F4A">
        <w:rPr>
          <w:color w:val="000000"/>
        </w:rPr>
        <w:t>sproces</w:t>
      </w:r>
      <w:r w:rsidR="00CC0160" w:rsidRPr="003C6F4A">
        <w:rPr>
          <w:color w:val="000000"/>
        </w:rPr>
        <w:t xml:space="preserve"> </w:t>
      </w:r>
      <w:r w:rsidR="00DB4FE0" w:rsidRPr="003C6F4A">
        <w:rPr>
          <w:color w:val="000000"/>
        </w:rPr>
        <w:t>v</w:t>
      </w:r>
      <w:r w:rsidR="00CC0160" w:rsidRPr="003C6F4A">
        <w:rPr>
          <w:color w:val="000000"/>
        </w:rPr>
        <w:t xml:space="preserve">an </w:t>
      </w:r>
      <w:r w:rsidR="00DB4FE0" w:rsidRPr="003C6F4A">
        <w:rPr>
          <w:color w:val="000000"/>
        </w:rPr>
        <w:t xml:space="preserve">de zorgzwaartebekostiging </w:t>
      </w:r>
      <w:r w:rsidR="00EC3920" w:rsidRPr="003C6F4A">
        <w:rPr>
          <w:color w:val="000000"/>
        </w:rPr>
        <w:t xml:space="preserve">beleidswijzigingen </w:t>
      </w:r>
      <w:r w:rsidR="00CC0160" w:rsidRPr="003C6F4A">
        <w:rPr>
          <w:color w:val="000000"/>
        </w:rPr>
        <w:t>door h</w:t>
      </w:r>
      <w:r w:rsidR="00EC3920" w:rsidRPr="003C6F4A">
        <w:rPr>
          <w:color w:val="000000"/>
        </w:rPr>
        <w:t>et ministeri</w:t>
      </w:r>
      <w:r w:rsidR="001F103D" w:rsidRPr="003C6F4A">
        <w:rPr>
          <w:color w:val="000000"/>
        </w:rPr>
        <w:t>e van VWS</w:t>
      </w:r>
      <w:r w:rsidR="00CC0160" w:rsidRPr="003C6F4A">
        <w:rPr>
          <w:color w:val="000000"/>
        </w:rPr>
        <w:t xml:space="preserve"> </w:t>
      </w:r>
      <w:r w:rsidR="00CE42FC" w:rsidRPr="003C6F4A">
        <w:rPr>
          <w:color w:val="000000"/>
        </w:rPr>
        <w:t xml:space="preserve">worden </w:t>
      </w:r>
      <w:r w:rsidR="00CC0160" w:rsidRPr="003C6F4A">
        <w:rPr>
          <w:color w:val="000000"/>
        </w:rPr>
        <w:t>doorgevoerd</w:t>
      </w:r>
      <w:r w:rsidR="001F103D" w:rsidRPr="003C6F4A">
        <w:rPr>
          <w:color w:val="000000"/>
        </w:rPr>
        <w:t>, die onduidelijkh</w:t>
      </w:r>
      <w:r w:rsidR="00EC3920" w:rsidRPr="003C6F4A">
        <w:rPr>
          <w:color w:val="000000"/>
        </w:rPr>
        <w:t>e</w:t>
      </w:r>
      <w:r w:rsidR="001F103D" w:rsidRPr="003C6F4A">
        <w:rPr>
          <w:color w:val="000000"/>
        </w:rPr>
        <w:t xml:space="preserve">id </w:t>
      </w:r>
      <w:r w:rsidR="00CE42FC" w:rsidRPr="003C6F4A">
        <w:rPr>
          <w:color w:val="000000"/>
        </w:rPr>
        <w:t xml:space="preserve">opwerpen </w:t>
      </w:r>
      <w:r w:rsidR="00881E2B" w:rsidRPr="003C6F4A">
        <w:rPr>
          <w:color w:val="000000"/>
        </w:rPr>
        <w:t xml:space="preserve">bij </w:t>
      </w:r>
      <w:r w:rsidR="00CC0160" w:rsidRPr="003C6F4A">
        <w:rPr>
          <w:color w:val="000000"/>
        </w:rPr>
        <w:t xml:space="preserve">cliënten van </w:t>
      </w:r>
      <w:r w:rsidR="001F103D" w:rsidRPr="003C6F4A">
        <w:rPr>
          <w:color w:val="000000"/>
        </w:rPr>
        <w:t>aanbieders van gehandicaptenzorg</w:t>
      </w:r>
      <w:r w:rsidR="00EC3920" w:rsidRPr="003C6F4A">
        <w:rPr>
          <w:rStyle w:val="Voetnootmarkering"/>
          <w:color w:val="000000"/>
        </w:rPr>
        <w:footnoteReference w:id="1"/>
      </w:r>
      <w:r w:rsidR="00DB4FE0" w:rsidRPr="003C6F4A">
        <w:rPr>
          <w:color w:val="000000"/>
        </w:rPr>
        <w:t xml:space="preserve">. </w:t>
      </w:r>
      <w:r w:rsidR="009C788B" w:rsidRPr="003C6F4A">
        <w:rPr>
          <w:color w:val="000000"/>
        </w:rPr>
        <w:t xml:space="preserve">De verantwoordelijkheid voor </w:t>
      </w:r>
      <w:r w:rsidR="00A27B92" w:rsidRPr="003C6F4A">
        <w:rPr>
          <w:color w:val="000000"/>
        </w:rPr>
        <w:t xml:space="preserve">het informeren van de cliënt over </w:t>
      </w:r>
    </w:p>
    <w:p w:rsidR="00357AD9" w:rsidRPr="003C6F4A" w:rsidRDefault="00A27B92" w:rsidP="00765DBF">
      <w:pPr>
        <w:rPr>
          <w:color w:val="000000"/>
        </w:rPr>
      </w:pPr>
      <w:r w:rsidRPr="003C6F4A">
        <w:rPr>
          <w:color w:val="000000"/>
        </w:rPr>
        <w:t xml:space="preserve">wat tot </w:t>
      </w:r>
      <w:r w:rsidR="009C788B" w:rsidRPr="003C6F4A">
        <w:rPr>
          <w:color w:val="000000"/>
        </w:rPr>
        <w:t xml:space="preserve">de inhoud van de </w:t>
      </w:r>
      <w:r w:rsidRPr="003C6F4A">
        <w:rPr>
          <w:color w:val="000000"/>
        </w:rPr>
        <w:t>‘A</w:t>
      </w:r>
      <w:r w:rsidR="009C788B" w:rsidRPr="003C6F4A">
        <w:rPr>
          <w:color w:val="000000"/>
        </w:rPr>
        <w:t>WBZ polis</w:t>
      </w:r>
      <w:r w:rsidRPr="003C6F4A">
        <w:rPr>
          <w:color w:val="000000"/>
        </w:rPr>
        <w:t>’</w:t>
      </w:r>
      <w:r w:rsidR="009C788B" w:rsidRPr="003C6F4A">
        <w:rPr>
          <w:color w:val="000000"/>
        </w:rPr>
        <w:t xml:space="preserve"> </w:t>
      </w:r>
      <w:r w:rsidRPr="003C6F4A">
        <w:rPr>
          <w:color w:val="000000"/>
        </w:rPr>
        <w:t xml:space="preserve">behoort, </w:t>
      </w:r>
      <w:r w:rsidR="009C788B" w:rsidRPr="003C6F4A">
        <w:rPr>
          <w:color w:val="000000"/>
        </w:rPr>
        <w:t xml:space="preserve">ligt naar onze mening niet bij de zorgaanbieder. </w:t>
      </w:r>
      <w:r w:rsidR="00CC0160" w:rsidRPr="003C6F4A">
        <w:rPr>
          <w:color w:val="000000"/>
        </w:rPr>
        <w:t xml:space="preserve">Wij </w:t>
      </w:r>
      <w:r w:rsidR="009C788B" w:rsidRPr="003C6F4A">
        <w:rPr>
          <w:color w:val="000000"/>
        </w:rPr>
        <w:t xml:space="preserve">vinden het dan ook van belang dat de het richtsnoer evenwichtig moet zijn </w:t>
      </w:r>
      <w:r w:rsidRPr="003C6F4A">
        <w:rPr>
          <w:color w:val="000000"/>
        </w:rPr>
        <w:t>met betrekking t</w:t>
      </w:r>
      <w:r w:rsidR="00216A50">
        <w:rPr>
          <w:color w:val="000000"/>
        </w:rPr>
        <w:t xml:space="preserve">ot wie </w:t>
      </w:r>
      <w:r w:rsidRPr="003C6F4A">
        <w:rPr>
          <w:color w:val="000000"/>
        </w:rPr>
        <w:t xml:space="preserve">voor </w:t>
      </w:r>
      <w:r w:rsidR="00216A50">
        <w:rPr>
          <w:color w:val="000000"/>
        </w:rPr>
        <w:t xml:space="preserve">welke informatieverstrekking </w:t>
      </w:r>
      <w:r w:rsidRPr="003C6F4A">
        <w:rPr>
          <w:color w:val="000000"/>
        </w:rPr>
        <w:t xml:space="preserve">verantwoordelijk is. </w:t>
      </w:r>
    </w:p>
    <w:p w:rsidR="008E7EA4" w:rsidRPr="003C6F4A" w:rsidRDefault="008E7EA4" w:rsidP="00765DBF">
      <w:pPr>
        <w:rPr>
          <w:color w:val="000000"/>
        </w:rPr>
      </w:pPr>
    </w:p>
    <w:p w:rsidR="00A27B92" w:rsidRPr="003C6F4A" w:rsidRDefault="00A27B92" w:rsidP="00765DBF">
      <w:pPr>
        <w:rPr>
          <w:color w:val="000000"/>
        </w:rPr>
      </w:pPr>
      <w:r w:rsidRPr="003C6F4A">
        <w:rPr>
          <w:color w:val="000000"/>
        </w:rPr>
        <w:t xml:space="preserve">Wij zijn het eens met de in het richtsnoer opgenomen lijn dat de NZa initiatieven die partijen ontplooien op het gebied van de transparantie van de (inhoudelijke) kwaliteit van de zorg volgt. Het proces dat hiermee gemoeid is, is complex en langdurend. De VGN en andere partijen die betrokken zijn bij dit traject hechten zeer veel waarde aan transparantie van de kwaliteit van de zorg. Wij zien echter geen rol voor de NZa om op termijn, via aanpassing van dit richtsnoer, dit ontwikkelproces in de gehandicaptenzorg te ondersteunen. </w:t>
      </w:r>
    </w:p>
    <w:p w:rsidR="008E7EA4" w:rsidRDefault="008E7EA4" w:rsidP="00765DBF">
      <w:pPr>
        <w:rPr>
          <w:color w:val="000000"/>
        </w:rPr>
      </w:pPr>
    </w:p>
    <w:p w:rsidR="008D1779" w:rsidRDefault="00826F9B" w:rsidP="00765DBF">
      <w:pPr>
        <w:rPr>
          <w:color w:val="000000"/>
        </w:rPr>
      </w:pPr>
      <w:r>
        <w:rPr>
          <w:color w:val="000000"/>
        </w:rPr>
        <w:t>Tenslo</w:t>
      </w:r>
      <w:r w:rsidR="00C52113">
        <w:rPr>
          <w:color w:val="000000"/>
        </w:rPr>
        <w:t xml:space="preserve">tte willen wij nog opmerken dat aanbieders te kampen </w:t>
      </w:r>
      <w:r w:rsidR="008D1779">
        <w:rPr>
          <w:color w:val="000000"/>
        </w:rPr>
        <w:t xml:space="preserve">gaan krijgen </w:t>
      </w:r>
      <w:r w:rsidR="00C52113">
        <w:rPr>
          <w:color w:val="000000"/>
        </w:rPr>
        <w:t>me</w:t>
      </w:r>
      <w:r w:rsidR="008D1779">
        <w:rPr>
          <w:color w:val="000000"/>
        </w:rPr>
        <w:t>t de praktische uitvoerbaarheid</w:t>
      </w:r>
      <w:r w:rsidR="000A10CC">
        <w:rPr>
          <w:color w:val="000000"/>
        </w:rPr>
        <w:t xml:space="preserve"> van de verplichtingen</w:t>
      </w:r>
      <w:r w:rsidR="008D1779">
        <w:rPr>
          <w:color w:val="000000"/>
        </w:rPr>
        <w:t xml:space="preserve">. Wij menen namelijk dat </w:t>
      </w:r>
      <w:r w:rsidR="00C52113">
        <w:rPr>
          <w:color w:val="000000"/>
        </w:rPr>
        <w:t xml:space="preserve">de verplichtingen nauwelijks in te passen zijn in de onder tabel 1 </w:t>
      </w:r>
      <w:r w:rsidR="008D1779">
        <w:rPr>
          <w:color w:val="000000"/>
        </w:rPr>
        <w:t xml:space="preserve">genoemde wettelijke </w:t>
      </w:r>
      <w:r w:rsidR="00C52113">
        <w:rPr>
          <w:color w:val="000000"/>
        </w:rPr>
        <w:t xml:space="preserve">zorgplansystematiek. De cliënt krijgt </w:t>
      </w:r>
      <w:r w:rsidR="008D1779">
        <w:rPr>
          <w:color w:val="000000"/>
        </w:rPr>
        <w:t xml:space="preserve">volgens die systematiek </w:t>
      </w:r>
      <w:r w:rsidR="00C52113">
        <w:rPr>
          <w:color w:val="000000"/>
        </w:rPr>
        <w:t xml:space="preserve">op </w:t>
      </w:r>
      <w:r w:rsidR="008D1779">
        <w:rPr>
          <w:color w:val="000000"/>
        </w:rPr>
        <w:t xml:space="preserve">microniveau </w:t>
      </w:r>
      <w:r w:rsidR="00C52113">
        <w:rPr>
          <w:color w:val="000000"/>
        </w:rPr>
        <w:t>informatie</w:t>
      </w:r>
      <w:r w:rsidR="009E7E1E">
        <w:rPr>
          <w:color w:val="000000"/>
        </w:rPr>
        <w:t xml:space="preserve"> over de zorg die de aanbieder hem kan leveren</w:t>
      </w:r>
      <w:r w:rsidR="008D1779">
        <w:rPr>
          <w:color w:val="000000"/>
        </w:rPr>
        <w:t>. Dergelijk maatwerk</w:t>
      </w:r>
      <w:r w:rsidR="002D2CA2">
        <w:rPr>
          <w:color w:val="000000"/>
        </w:rPr>
        <w:t>informatie</w:t>
      </w:r>
      <w:r w:rsidR="008D1779">
        <w:rPr>
          <w:color w:val="000000"/>
        </w:rPr>
        <w:t xml:space="preserve"> kan niet simpel</w:t>
      </w:r>
      <w:r w:rsidR="002D2CA2">
        <w:rPr>
          <w:color w:val="000000"/>
        </w:rPr>
        <w:t>weg</w:t>
      </w:r>
      <w:r w:rsidR="008D1779">
        <w:rPr>
          <w:color w:val="000000"/>
        </w:rPr>
        <w:t xml:space="preserve"> omgezet of </w:t>
      </w:r>
      <w:r w:rsidR="003A4154">
        <w:rPr>
          <w:color w:val="000000"/>
        </w:rPr>
        <w:t xml:space="preserve">geaggregeerd </w:t>
      </w:r>
      <w:r w:rsidR="008D1779">
        <w:rPr>
          <w:color w:val="000000"/>
        </w:rPr>
        <w:t>worden in gegevens die gemakkelijk vergelijkbaar zijn</w:t>
      </w:r>
      <w:r w:rsidR="0099223B">
        <w:rPr>
          <w:color w:val="000000"/>
        </w:rPr>
        <w:t xml:space="preserve"> zoals gesteld in het richtsnoer.</w:t>
      </w:r>
      <w:r w:rsidR="008D1779">
        <w:rPr>
          <w:color w:val="000000"/>
        </w:rPr>
        <w:t>.</w:t>
      </w:r>
    </w:p>
    <w:p w:rsidR="00826F9B" w:rsidRPr="003C6F4A" w:rsidRDefault="00615BEF" w:rsidP="00765DBF">
      <w:pPr>
        <w:rPr>
          <w:color w:val="000000"/>
        </w:rPr>
      </w:pPr>
      <w:r>
        <w:rPr>
          <w:color w:val="000000"/>
        </w:rPr>
        <w:t>Nog afgezien van d</w:t>
      </w:r>
      <w:r w:rsidR="008D1779">
        <w:rPr>
          <w:color w:val="000000"/>
        </w:rPr>
        <w:t xml:space="preserve">eze </w:t>
      </w:r>
      <w:r w:rsidR="009E7E1E">
        <w:rPr>
          <w:color w:val="000000"/>
        </w:rPr>
        <w:t xml:space="preserve">praktische </w:t>
      </w:r>
      <w:r w:rsidR="008D1779">
        <w:rPr>
          <w:color w:val="000000"/>
        </w:rPr>
        <w:t>problematiek</w:t>
      </w:r>
      <w:r>
        <w:rPr>
          <w:color w:val="000000"/>
        </w:rPr>
        <w:t>, zullen d</w:t>
      </w:r>
      <w:r w:rsidR="008D1779">
        <w:rPr>
          <w:color w:val="000000"/>
        </w:rPr>
        <w:t xml:space="preserve">e </w:t>
      </w:r>
      <w:r w:rsidR="00826F9B">
        <w:rPr>
          <w:color w:val="000000"/>
        </w:rPr>
        <w:t xml:space="preserve">administratieve lasten </w:t>
      </w:r>
      <w:r>
        <w:rPr>
          <w:color w:val="000000"/>
        </w:rPr>
        <w:t xml:space="preserve">en daarmee de onkosten </w:t>
      </w:r>
      <w:r w:rsidR="00C52113">
        <w:rPr>
          <w:color w:val="000000"/>
        </w:rPr>
        <w:t>voor aanbieders van gehandicaptenzorg</w:t>
      </w:r>
      <w:r>
        <w:rPr>
          <w:color w:val="000000"/>
        </w:rPr>
        <w:t xml:space="preserve"> weer toenemen, wat het primair zorgverleningproces niet ten goede komt. </w:t>
      </w:r>
    </w:p>
    <w:p w:rsidR="00BA3334" w:rsidRDefault="00BA3334" w:rsidP="00765DBF">
      <w:pPr>
        <w:pStyle w:val="Geenafstand"/>
        <w:spacing w:line="280" w:lineRule="atLeast"/>
        <w:rPr>
          <w:rFonts w:ascii="Verdana" w:hAnsi="Verdana"/>
          <w:color w:val="000000"/>
          <w:sz w:val="20"/>
          <w:szCs w:val="20"/>
        </w:rPr>
      </w:pPr>
    </w:p>
    <w:p w:rsidR="00BA3334" w:rsidRPr="00BA3334" w:rsidRDefault="00BA3334" w:rsidP="00765DBF">
      <w:pPr>
        <w:pStyle w:val="Geenafstand"/>
        <w:spacing w:line="280" w:lineRule="atLeast"/>
        <w:rPr>
          <w:rFonts w:ascii="Verdana" w:hAnsi="Verdana"/>
          <w:b/>
          <w:color w:val="000000"/>
          <w:sz w:val="20"/>
          <w:szCs w:val="20"/>
        </w:rPr>
      </w:pPr>
      <w:r w:rsidRPr="00BA3334">
        <w:rPr>
          <w:rFonts w:ascii="Verdana" w:hAnsi="Verdana"/>
          <w:b/>
          <w:color w:val="000000"/>
          <w:sz w:val="20"/>
          <w:szCs w:val="20"/>
        </w:rPr>
        <w:t>Specifiek</w:t>
      </w:r>
      <w:r>
        <w:rPr>
          <w:rFonts w:ascii="Verdana" w:hAnsi="Verdana"/>
          <w:b/>
          <w:color w:val="000000"/>
          <w:sz w:val="20"/>
          <w:szCs w:val="20"/>
        </w:rPr>
        <w:t xml:space="preserve"> op onderdelen:</w:t>
      </w:r>
      <w:r w:rsidRPr="00BA3334">
        <w:rPr>
          <w:rFonts w:ascii="Verdana" w:hAnsi="Verdana"/>
          <w:b/>
          <w:color w:val="000000"/>
          <w:sz w:val="20"/>
          <w:szCs w:val="20"/>
        </w:rPr>
        <w:t xml:space="preserve"> </w:t>
      </w:r>
    </w:p>
    <w:p w:rsidR="00BA3334" w:rsidRPr="003C6F4A" w:rsidRDefault="00BA3334" w:rsidP="00765DBF">
      <w:pPr>
        <w:pStyle w:val="Geenafstand"/>
        <w:spacing w:line="280" w:lineRule="atLeast"/>
        <w:rPr>
          <w:rFonts w:ascii="Verdana" w:hAnsi="Verdana"/>
          <w:color w:val="000000"/>
          <w:sz w:val="20"/>
          <w:szCs w:val="20"/>
        </w:rPr>
      </w:pPr>
    </w:p>
    <w:p w:rsidR="00E5070C" w:rsidRPr="003C6F4A" w:rsidRDefault="00E5070C" w:rsidP="00765DBF">
      <w:pPr>
        <w:rPr>
          <w:i/>
          <w:color w:val="000000"/>
        </w:rPr>
      </w:pPr>
      <w:r w:rsidRPr="003C6F4A">
        <w:rPr>
          <w:i/>
          <w:color w:val="000000"/>
        </w:rPr>
        <w:t xml:space="preserve">Basisinformatie </w:t>
      </w:r>
    </w:p>
    <w:p w:rsidR="006B69DF" w:rsidRPr="003C6F4A" w:rsidRDefault="006B69DF" w:rsidP="00765DBF">
      <w:pPr>
        <w:rPr>
          <w:color w:val="000000"/>
        </w:rPr>
      </w:pPr>
      <w:r w:rsidRPr="003C6F4A">
        <w:rPr>
          <w:color w:val="000000"/>
        </w:rPr>
        <w:t>Wij zien op pagina 10 en 11 in hoofdzaak voorbeelden uit de curatieve sector</w:t>
      </w:r>
      <w:r w:rsidR="00826F9B">
        <w:rPr>
          <w:color w:val="000000"/>
        </w:rPr>
        <w:t xml:space="preserve">. Daarin vinden wij steun voor ons standpunt dat deze eisen niet passend zijn voor de gehandicaptensector en dat ‘op maat’ toezicht nodig is. </w:t>
      </w:r>
    </w:p>
    <w:p w:rsidR="006B69DF" w:rsidRDefault="006B69DF"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5F64F0" w:rsidRPr="003C6F4A" w:rsidRDefault="005F64F0" w:rsidP="00765DBF">
      <w:pPr>
        <w:rPr>
          <w:i/>
          <w:color w:val="000000"/>
        </w:rPr>
      </w:pPr>
      <w:r w:rsidRPr="003C6F4A">
        <w:rPr>
          <w:i/>
          <w:color w:val="000000"/>
        </w:rPr>
        <w:t>Voorbeelden in de tabellen</w:t>
      </w:r>
    </w:p>
    <w:p w:rsidR="00E03D79" w:rsidRPr="003C6F4A" w:rsidRDefault="00E03D79" w:rsidP="00765DBF">
      <w:pPr>
        <w:rPr>
          <w:color w:val="000000"/>
        </w:rPr>
      </w:pPr>
      <w:r w:rsidRPr="003C6F4A">
        <w:rPr>
          <w:color w:val="000000"/>
        </w:rPr>
        <w:t xml:space="preserve">Tabel 1: basisinformatie </w:t>
      </w:r>
    </w:p>
    <w:p w:rsidR="0020315F" w:rsidRPr="003C6F4A" w:rsidRDefault="00E03D79" w:rsidP="00765DBF">
      <w:pPr>
        <w:rPr>
          <w:color w:val="000000"/>
        </w:rPr>
      </w:pPr>
      <w:r w:rsidRPr="00D83A78">
        <w:rPr>
          <w:color w:val="000000"/>
          <w:u w:val="single"/>
        </w:rPr>
        <w:t>Bij product</w:t>
      </w:r>
      <w:r w:rsidR="005F64F0" w:rsidRPr="00D83A78">
        <w:rPr>
          <w:color w:val="000000"/>
          <w:u w:val="single"/>
        </w:rPr>
        <w:t>:</w:t>
      </w:r>
      <w:r w:rsidR="005F64F0" w:rsidRPr="003C6F4A">
        <w:rPr>
          <w:color w:val="000000"/>
        </w:rPr>
        <w:t xml:space="preserve"> hier </w:t>
      </w:r>
      <w:r w:rsidRPr="003C6F4A">
        <w:rPr>
          <w:color w:val="000000"/>
        </w:rPr>
        <w:t>geeft u</w:t>
      </w:r>
      <w:r w:rsidR="000E6FF4" w:rsidRPr="003C6F4A">
        <w:rPr>
          <w:color w:val="000000"/>
        </w:rPr>
        <w:t xml:space="preserve">w NZa </w:t>
      </w:r>
      <w:r w:rsidRPr="003C6F4A">
        <w:rPr>
          <w:color w:val="000000"/>
        </w:rPr>
        <w:t xml:space="preserve">bij concretisering </w:t>
      </w:r>
      <w:r w:rsidR="005F64F0" w:rsidRPr="003C6F4A">
        <w:rPr>
          <w:color w:val="000000"/>
        </w:rPr>
        <w:t xml:space="preserve">aan </w:t>
      </w:r>
      <w:r w:rsidRPr="003C6F4A">
        <w:rPr>
          <w:color w:val="000000"/>
        </w:rPr>
        <w:t xml:space="preserve">dat zorgaanbieders vooraf actief moeten aangeven </w:t>
      </w:r>
      <w:r w:rsidR="00D81A20" w:rsidRPr="003C6F4A">
        <w:rPr>
          <w:color w:val="000000"/>
        </w:rPr>
        <w:t xml:space="preserve">welke </w:t>
      </w:r>
      <w:r w:rsidR="006B69DF" w:rsidRPr="003C6F4A">
        <w:rPr>
          <w:color w:val="000000"/>
        </w:rPr>
        <w:t>NZa-</w:t>
      </w:r>
      <w:r w:rsidR="00D81A20" w:rsidRPr="003C6F4A">
        <w:rPr>
          <w:color w:val="000000"/>
        </w:rPr>
        <w:t>prestaties geleverd gaan worden</w:t>
      </w:r>
      <w:r w:rsidR="006B69DF" w:rsidRPr="003C6F4A">
        <w:rPr>
          <w:color w:val="000000"/>
        </w:rPr>
        <w:t xml:space="preserve">. </w:t>
      </w:r>
      <w:r w:rsidR="00D81A20" w:rsidRPr="003C6F4A">
        <w:rPr>
          <w:color w:val="000000"/>
        </w:rPr>
        <w:t xml:space="preserve">De NZa toetst hiermee </w:t>
      </w:r>
      <w:r w:rsidR="006B69DF" w:rsidRPr="003C6F4A">
        <w:rPr>
          <w:color w:val="000000"/>
        </w:rPr>
        <w:t xml:space="preserve">naar onze mening </w:t>
      </w:r>
      <w:r w:rsidR="001F3E09" w:rsidRPr="003C6F4A">
        <w:rPr>
          <w:color w:val="000000"/>
        </w:rPr>
        <w:t xml:space="preserve">op de eerste plaats </w:t>
      </w:r>
      <w:r w:rsidR="006B69DF" w:rsidRPr="003C6F4A">
        <w:rPr>
          <w:color w:val="000000"/>
        </w:rPr>
        <w:t xml:space="preserve">alleen </w:t>
      </w:r>
      <w:r w:rsidR="00D81A20" w:rsidRPr="003C6F4A">
        <w:rPr>
          <w:color w:val="000000"/>
        </w:rPr>
        <w:t>haar eigen prestatiebeschr</w:t>
      </w:r>
      <w:r w:rsidR="0093544B" w:rsidRPr="003C6F4A">
        <w:rPr>
          <w:color w:val="000000"/>
        </w:rPr>
        <w:t xml:space="preserve">ijvingen. Wij vragen ons af wat </w:t>
      </w:r>
      <w:r w:rsidR="00D81A20" w:rsidRPr="003C6F4A">
        <w:rPr>
          <w:color w:val="000000"/>
        </w:rPr>
        <w:t>de relevantie van deze informatie</w:t>
      </w:r>
      <w:r w:rsidR="000E6FF4" w:rsidRPr="003C6F4A">
        <w:rPr>
          <w:color w:val="000000"/>
        </w:rPr>
        <w:t xml:space="preserve">-eis </w:t>
      </w:r>
      <w:r w:rsidR="00A51214" w:rsidRPr="003C6F4A">
        <w:rPr>
          <w:color w:val="000000"/>
        </w:rPr>
        <w:t xml:space="preserve">is </w:t>
      </w:r>
      <w:r w:rsidR="000E6FF4" w:rsidRPr="003C6F4A">
        <w:rPr>
          <w:color w:val="000000"/>
        </w:rPr>
        <w:t xml:space="preserve">die hier </w:t>
      </w:r>
      <w:r w:rsidR="0093544B" w:rsidRPr="003C6F4A">
        <w:rPr>
          <w:color w:val="000000"/>
        </w:rPr>
        <w:t xml:space="preserve">door uw NZa </w:t>
      </w:r>
      <w:r w:rsidR="000E6FF4" w:rsidRPr="003C6F4A">
        <w:rPr>
          <w:color w:val="000000"/>
        </w:rPr>
        <w:t>wordt gesteld voor de cliënt</w:t>
      </w:r>
      <w:r w:rsidR="005F64F0" w:rsidRPr="003C6F4A">
        <w:rPr>
          <w:color w:val="000000"/>
        </w:rPr>
        <w:t>.</w:t>
      </w:r>
      <w:r w:rsidR="0020315F" w:rsidRPr="003C6F4A">
        <w:rPr>
          <w:color w:val="000000"/>
        </w:rPr>
        <w:t xml:space="preserve"> </w:t>
      </w:r>
      <w:r w:rsidR="000E6FF4" w:rsidRPr="003C6F4A">
        <w:rPr>
          <w:color w:val="000000"/>
        </w:rPr>
        <w:t>Dit in het licht van het feit dat o</w:t>
      </w:r>
      <w:r w:rsidRPr="003C6F4A">
        <w:rPr>
          <w:color w:val="000000"/>
        </w:rPr>
        <w:t xml:space="preserve">p de </w:t>
      </w:r>
      <w:r w:rsidR="00E5070C" w:rsidRPr="003C6F4A">
        <w:rPr>
          <w:color w:val="000000"/>
        </w:rPr>
        <w:t>gehandic</w:t>
      </w:r>
      <w:r w:rsidR="00A51214" w:rsidRPr="003C6F4A">
        <w:rPr>
          <w:color w:val="000000"/>
        </w:rPr>
        <w:t>aptenzorg</w:t>
      </w:r>
      <w:r w:rsidRPr="003C6F4A">
        <w:rPr>
          <w:color w:val="000000"/>
        </w:rPr>
        <w:t xml:space="preserve"> onder de werking van de Kwaliteitswet zorginstellingen, </w:t>
      </w:r>
      <w:r w:rsidR="00E5070C" w:rsidRPr="003C6F4A">
        <w:rPr>
          <w:color w:val="000000"/>
        </w:rPr>
        <w:t>het Besluit zorgplanbespreking AWBZ</w:t>
      </w:r>
      <w:r w:rsidRPr="003C6F4A">
        <w:rPr>
          <w:color w:val="000000"/>
        </w:rPr>
        <w:t xml:space="preserve"> van toepassing</w:t>
      </w:r>
      <w:r w:rsidR="000E6FF4" w:rsidRPr="003C6F4A">
        <w:rPr>
          <w:color w:val="000000"/>
        </w:rPr>
        <w:t xml:space="preserve"> is</w:t>
      </w:r>
      <w:r w:rsidRPr="003C6F4A">
        <w:rPr>
          <w:color w:val="000000"/>
        </w:rPr>
        <w:t xml:space="preserve">. </w:t>
      </w:r>
      <w:r w:rsidR="000E6FF4" w:rsidRPr="003C6F4A">
        <w:rPr>
          <w:color w:val="000000"/>
        </w:rPr>
        <w:t>Hierin is geregeld dat z</w:t>
      </w:r>
      <w:r w:rsidR="00E5070C" w:rsidRPr="003C6F4A">
        <w:rPr>
          <w:color w:val="000000"/>
        </w:rPr>
        <w:t xml:space="preserve">o spoedig mogelijk na de aanvang van de zorgverlening een </w:t>
      </w:r>
      <w:r w:rsidR="00A51214" w:rsidRPr="003C6F4A">
        <w:rPr>
          <w:color w:val="000000"/>
        </w:rPr>
        <w:t>zorgplan</w:t>
      </w:r>
      <w:r w:rsidR="00E5070C" w:rsidRPr="003C6F4A">
        <w:rPr>
          <w:color w:val="000000"/>
        </w:rPr>
        <w:t xml:space="preserve">bespreking met de cliënt gehouden </w:t>
      </w:r>
      <w:r w:rsidR="000E6FF4" w:rsidRPr="003C6F4A">
        <w:rPr>
          <w:color w:val="000000"/>
        </w:rPr>
        <w:t xml:space="preserve">moet </w:t>
      </w:r>
      <w:r w:rsidR="00E5070C" w:rsidRPr="003C6F4A">
        <w:rPr>
          <w:color w:val="000000"/>
        </w:rPr>
        <w:t xml:space="preserve">worden. Naast </w:t>
      </w:r>
      <w:r w:rsidRPr="003C6F4A">
        <w:rPr>
          <w:color w:val="000000"/>
        </w:rPr>
        <w:t xml:space="preserve">tijdsaspecten kent dit Besluit </w:t>
      </w:r>
      <w:r w:rsidR="00E5070C" w:rsidRPr="003C6F4A">
        <w:rPr>
          <w:color w:val="000000"/>
        </w:rPr>
        <w:t>inhoudelijke eisen</w:t>
      </w:r>
      <w:r w:rsidRPr="003C6F4A">
        <w:rPr>
          <w:color w:val="000000"/>
        </w:rPr>
        <w:t xml:space="preserve">. Met het zorgplan </w:t>
      </w:r>
      <w:r w:rsidR="00A51214" w:rsidRPr="003C6F4A">
        <w:rPr>
          <w:color w:val="000000"/>
        </w:rPr>
        <w:t>g</w:t>
      </w:r>
      <w:r w:rsidRPr="003C6F4A">
        <w:rPr>
          <w:color w:val="000000"/>
        </w:rPr>
        <w:t xml:space="preserve">eeft de zorgaanbieder </w:t>
      </w:r>
      <w:r w:rsidR="006B69DF" w:rsidRPr="003C6F4A">
        <w:rPr>
          <w:color w:val="000000"/>
        </w:rPr>
        <w:t xml:space="preserve">concreet </w:t>
      </w:r>
      <w:r w:rsidR="005F64F0" w:rsidRPr="003C6F4A">
        <w:rPr>
          <w:color w:val="000000"/>
        </w:rPr>
        <w:t xml:space="preserve">en op maat </w:t>
      </w:r>
      <w:r w:rsidR="00A51214" w:rsidRPr="003C6F4A">
        <w:rPr>
          <w:color w:val="000000"/>
        </w:rPr>
        <w:t xml:space="preserve">invulling aan de te leveren zorg. </w:t>
      </w:r>
      <w:r w:rsidR="009E7E1E">
        <w:rPr>
          <w:color w:val="000000"/>
        </w:rPr>
        <w:t xml:space="preserve">De Inspectie voor de gezondheidszorg houdt toezicht op de vereisten uit dit Besluit. </w:t>
      </w:r>
      <w:r w:rsidR="003B36D6">
        <w:rPr>
          <w:color w:val="000000"/>
        </w:rPr>
        <w:t xml:space="preserve">Wij vinden dat stapeling van toezicht moet worden voorkomen. </w:t>
      </w:r>
    </w:p>
    <w:p w:rsidR="003B36D6" w:rsidRDefault="003B36D6" w:rsidP="00765DBF">
      <w:pPr>
        <w:rPr>
          <w:color w:val="000000"/>
        </w:rPr>
      </w:pPr>
    </w:p>
    <w:p w:rsidR="004E2C1C" w:rsidRPr="003C6F4A" w:rsidRDefault="0020315F" w:rsidP="00765DBF">
      <w:pPr>
        <w:rPr>
          <w:color w:val="000000"/>
        </w:rPr>
      </w:pPr>
      <w:r w:rsidRPr="003C6F4A">
        <w:rPr>
          <w:color w:val="000000"/>
        </w:rPr>
        <w:t xml:space="preserve">De eis van de prestatiebeschrijving lost naar onze mening niet de onduidelijkheden </w:t>
      </w:r>
      <w:r w:rsidR="00AA6907" w:rsidRPr="003C6F4A">
        <w:rPr>
          <w:color w:val="000000"/>
        </w:rPr>
        <w:t xml:space="preserve">op die er zijn over </w:t>
      </w:r>
      <w:r w:rsidRPr="003C6F4A">
        <w:rPr>
          <w:color w:val="000000"/>
        </w:rPr>
        <w:t xml:space="preserve">de </w:t>
      </w:r>
      <w:r w:rsidR="004E2C1C" w:rsidRPr="003C6F4A">
        <w:rPr>
          <w:color w:val="000000"/>
        </w:rPr>
        <w:t xml:space="preserve">‘dekking’ </w:t>
      </w:r>
      <w:r w:rsidRPr="003C6F4A">
        <w:rPr>
          <w:color w:val="000000"/>
        </w:rPr>
        <w:t xml:space="preserve">van het verzekerde pakket. Bijvoorbeeld bij de zorgzwaartepaketten met en zonder behandeling en de daarmee samenhangende omvang van de verzekerde zorg ex artikel 15 van de AWBZ, levert onduidelijkheden op. Het gebrek aan een glasheldere AWBZ-polis wordt naar onze mening niet opgelost met deze NZa eis heeft. </w:t>
      </w:r>
      <w:r w:rsidR="00FE2F52" w:rsidRPr="003C6F4A">
        <w:rPr>
          <w:color w:val="000000"/>
        </w:rPr>
        <w:t xml:space="preserve">Op dit punt komen wij nog terug bij </w:t>
      </w:r>
      <w:r w:rsidR="00033B5A" w:rsidRPr="003C6F4A">
        <w:rPr>
          <w:color w:val="000000"/>
        </w:rPr>
        <w:t xml:space="preserve">tabel 2 vormen van misleidende informatie.  </w:t>
      </w:r>
    </w:p>
    <w:p w:rsidR="00413E04" w:rsidRDefault="00413E04" w:rsidP="00765DBF">
      <w:pPr>
        <w:rPr>
          <w:color w:val="000000"/>
        </w:rPr>
      </w:pPr>
    </w:p>
    <w:p w:rsidR="00D63425" w:rsidRPr="003C6F4A" w:rsidRDefault="00827127" w:rsidP="00765DBF">
      <w:pPr>
        <w:rPr>
          <w:color w:val="000000"/>
        </w:rPr>
      </w:pPr>
      <w:r w:rsidRPr="003C6F4A">
        <w:rPr>
          <w:color w:val="000000"/>
        </w:rPr>
        <w:t xml:space="preserve">Tenslotte merken wij op dat in de gehandicaptenzorg niet alleen individuele zorg geleverd wordt maar vaak ook in groepsverband. Enige mate van solidariteit zal voor de goede en efficiënte organisatie van de zorg ook nodig zijn. </w:t>
      </w:r>
      <w:r w:rsidR="00773FEC" w:rsidRPr="003C6F4A">
        <w:rPr>
          <w:color w:val="000000"/>
        </w:rPr>
        <w:t xml:space="preserve">Wij maken ons zorgen dat het op zich positieve element van het verstrekken van informatie over de individuele NZa-zorgprestaties, de gewenste mate van solidariteit te </w:t>
      </w:r>
      <w:r w:rsidR="003C5251">
        <w:rPr>
          <w:color w:val="000000"/>
        </w:rPr>
        <w:t xml:space="preserve">niet </w:t>
      </w:r>
      <w:r w:rsidR="00773FEC" w:rsidRPr="003C6F4A">
        <w:rPr>
          <w:color w:val="000000"/>
        </w:rPr>
        <w:t xml:space="preserve">kan doen of mogelijk claimgedrag oproept. </w:t>
      </w:r>
    </w:p>
    <w:p w:rsidR="00827127" w:rsidRPr="003C6F4A" w:rsidRDefault="00827127" w:rsidP="00765DBF">
      <w:pPr>
        <w:rPr>
          <w:color w:val="000000"/>
        </w:rPr>
      </w:pPr>
    </w:p>
    <w:p w:rsidR="00827127" w:rsidRPr="003C6F4A" w:rsidRDefault="004E2C1C" w:rsidP="00765DBF">
      <w:pPr>
        <w:rPr>
          <w:color w:val="000000"/>
        </w:rPr>
      </w:pPr>
      <w:r w:rsidRPr="003C6F4A">
        <w:rPr>
          <w:color w:val="000000"/>
        </w:rPr>
        <w:t xml:space="preserve">Wij vragen u </w:t>
      </w:r>
      <w:r w:rsidR="00827127" w:rsidRPr="003C6F4A">
        <w:rPr>
          <w:color w:val="000000"/>
        </w:rPr>
        <w:t>daar</w:t>
      </w:r>
      <w:r w:rsidRPr="003C6F4A">
        <w:rPr>
          <w:color w:val="000000"/>
        </w:rPr>
        <w:t>om</w:t>
      </w:r>
      <w:r w:rsidR="00827127" w:rsidRPr="003C6F4A">
        <w:rPr>
          <w:color w:val="000000"/>
        </w:rPr>
        <w:t>:</w:t>
      </w:r>
    </w:p>
    <w:p w:rsidR="00827127" w:rsidRPr="00293740" w:rsidRDefault="004E2C1C" w:rsidP="00765DBF">
      <w:pPr>
        <w:pStyle w:val="Lijstalinea"/>
        <w:numPr>
          <w:ilvl w:val="0"/>
          <w:numId w:val="29"/>
        </w:numPr>
        <w:ind w:left="567" w:hanging="567"/>
        <w:rPr>
          <w:color w:val="000000"/>
        </w:rPr>
      </w:pPr>
      <w:r w:rsidRPr="00293740">
        <w:rPr>
          <w:color w:val="000000"/>
        </w:rPr>
        <w:t>de relevantie van deze informatie-eis toe te lichten.</w:t>
      </w:r>
    </w:p>
    <w:p w:rsidR="00827127" w:rsidRPr="00293740" w:rsidRDefault="00773FEC" w:rsidP="00765DBF">
      <w:pPr>
        <w:pStyle w:val="Lijstalinea"/>
        <w:numPr>
          <w:ilvl w:val="0"/>
          <w:numId w:val="29"/>
        </w:numPr>
        <w:ind w:left="567" w:hanging="567"/>
        <w:rPr>
          <w:color w:val="000000"/>
        </w:rPr>
      </w:pPr>
      <w:r w:rsidRPr="00293740">
        <w:rPr>
          <w:color w:val="000000"/>
        </w:rPr>
        <w:t xml:space="preserve">duidelijker aan te geven </w:t>
      </w:r>
      <w:r w:rsidR="00D63425" w:rsidRPr="00293740">
        <w:rPr>
          <w:color w:val="000000"/>
        </w:rPr>
        <w:t xml:space="preserve">waar liggen de grenzen voor deze informatie-eis gelet op de benodigde solidariteit. </w:t>
      </w:r>
    </w:p>
    <w:p w:rsidR="00773FEC" w:rsidRDefault="00773FEC" w:rsidP="00765DBF">
      <w:pPr>
        <w:pStyle w:val="Lijstalinea"/>
        <w:numPr>
          <w:ilvl w:val="0"/>
          <w:numId w:val="29"/>
        </w:numPr>
        <w:ind w:left="567" w:hanging="567"/>
        <w:rPr>
          <w:color w:val="000000"/>
        </w:rPr>
      </w:pPr>
      <w:r w:rsidRPr="00293740">
        <w:rPr>
          <w:color w:val="000000"/>
        </w:rPr>
        <w:t xml:space="preserve">helder </w:t>
      </w:r>
      <w:r w:rsidR="005F0C1F" w:rsidRPr="00293740">
        <w:rPr>
          <w:color w:val="000000"/>
        </w:rPr>
        <w:t xml:space="preserve">aan te geven dat de overheid, respectievelijk zorgverzekeraar/zorgkantoor verantwoordelijk zijn </w:t>
      </w:r>
      <w:r w:rsidRPr="00293740">
        <w:rPr>
          <w:color w:val="000000"/>
        </w:rPr>
        <w:t xml:space="preserve">voor de informatie over de dekking van het verzekerde pakket. </w:t>
      </w:r>
    </w:p>
    <w:p w:rsidR="003B36D6" w:rsidRPr="00293740" w:rsidRDefault="003B36D6" w:rsidP="00765DBF">
      <w:pPr>
        <w:pStyle w:val="Lijstalinea"/>
        <w:numPr>
          <w:ilvl w:val="0"/>
          <w:numId w:val="29"/>
        </w:numPr>
        <w:ind w:left="567" w:hanging="567"/>
        <w:rPr>
          <w:color w:val="000000"/>
        </w:rPr>
      </w:pPr>
      <w:r>
        <w:rPr>
          <w:color w:val="000000"/>
        </w:rPr>
        <w:t>Hoe stapeling van toezicht wordt voorkomen</w:t>
      </w:r>
    </w:p>
    <w:p w:rsidR="001F3E09" w:rsidRPr="003C6F4A" w:rsidRDefault="001F3E09" w:rsidP="00765DBF">
      <w:pPr>
        <w:rPr>
          <w:color w:val="000000"/>
        </w:rPr>
      </w:pPr>
    </w:p>
    <w:p w:rsidR="005F64F0" w:rsidRPr="003C6F4A" w:rsidRDefault="005F64F0" w:rsidP="00765DBF">
      <w:pPr>
        <w:rPr>
          <w:color w:val="000000"/>
        </w:rPr>
      </w:pPr>
      <w:r w:rsidRPr="00D83A78">
        <w:rPr>
          <w:color w:val="000000"/>
          <w:u w:val="single"/>
        </w:rPr>
        <w:t xml:space="preserve">Bij </w:t>
      </w:r>
      <w:r w:rsidR="00D83A78">
        <w:rPr>
          <w:color w:val="000000"/>
          <w:u w:val="single"/>
        </w:rPr>
        <w:t xml:space="preserve">het onderwerp </w:t>
      </w:r>
      <w:r w:rsidRPr="00D83A78">
        <w:rPr>
          <w:color w:val="000000"/>
          <w:u w:val="single"/>
        </w:rPr>
        <w:t>prijs</w:t>
      </w:r>
      <w:r w:rsidR="006D49E4" w:rsidRPr="003C6F4A">
        <w:rPr>
          <w:color w:val="000000"/>
        </w:rPr>
        <w:t xml:space="preserve"> (bladzijde 13)</w:t>
      </w:r>
      <w:r w:rsidRPr="003C6F4A">
        <w:rPr>
          <w:color w:val="000000"/>
        </w:rPr>
        <w:t xml:space="preserve">: </w:t>
      </w:r>
    </w:p>
    <w:p w:rsidR="00AA6907" w:rsidRPr="003C6F4A" w:rsidRDefault="00AA6907" w:rsidP="00765DBF">
      <w:pPr>
        <w:rPr>
          <w:color w:val="000000"/>
        </w:rPr>
      </w:pPr>
      <w:r w:rsidRPr="003C6F4A">
        <w:rPr>
          <w:color w:val="000000"/>
        </w:rPr>
        <w:t xml:space="preserve">Voorbeelden. </w:t>
      </w:r>
    </w:p>
    <w:p w:rsidR="00141171" w:rsidRPr="003C6F4A" w:rsidRDefault="00141171" w:rsidP="00765DBF">
      <w:pPr>
        <w:rPr>
          <w:color w:val="000000"/>
        </w:rPr>
      </w:pPr>
      <w:r w:rsidRPr="003C6F4A">
        <w:rPr>
          <w:color w:val="000000"/>
        </w:rPr>
        <w:t xml:space="preserve">Wij </w:t>
      </w:r>
      <w:r w:rsidR="009045F8" w:rsidRPr="003C6F4A">
        <w:rPr>
          <w:color w:val="000000"/>
        </w:rPr>
        <w:t xml:space="preserve">willen </w:t>
      </w:r>
      <w:r w:rsidR="00B3273A">
        <w:rPr>
          <w:color w:val="000000"/>
        </w:rPr>
        <w:t xml:space="preserve">graag </w:t>
      </w:r>
      <w:r w:rsidR="009045F8" w:rsidRPr="003C6F4A">
        <w:rPr>
          <w:color w:val="000000"/>
        </w:rPr>
        <w:t xml:space="preserve">dat dit onderdeel verhelderd wordt. Wij </w:t>
      </w:r>
      <w:r w:rsidR="00AA6907" w:rsidRPr="003C6F4A">
        <w:rPr>
          <w:color w:val="000000"/>
        </w:rPr>
        <w:t xml:space="preserve">stellen </w:t>
      </w:r>
      <w:r w:rsidR="00B3273A">
        <w:rPr>
          <w:color w:val="000000"/>
        </w:rPr>
        <w:t xml:space="preserve">daarom </w:t>
      </w:r>
      <w:r w:rsidR="00AA6907" w:rsidRPr="003C6F4A">
        <w:rPr>
          <w:color w:val="000000"/>
        </w:rPr>
        <w:t>voor om in de derde kolom toe te voegen</w:t>
      </w:r>
      <w:r w:rsidRPr="003C6F4A">
        <w:rPr>
          <w:color w:val="000000"/>
        </w:rPr>
        <w:t>:</w:t>
      </w:r>
    </w:p>
    <w:p w:rsidR="00141171" w:rsidRPr="003C6F4A" w:rsidRDefault="00B3273A" w:rsidP="00765DBF">
      <w:pPr>
        <w:rPr>
          <w:color w:val="000000"/>
        </w:rPr>
      </w:pPr>
      <w:r>
        <w:rPr>
          <w:color w:val="000000"/>
        </w:rPr>
        <w:t>“</w:t>
      </w:r>
      <w:r w:rsidR="00AA6907" w:rsidRPr="003C6F4A">
        <w:rPr>
          <w:color w:val="000000"/>
        </w:rPr>
        <w:t xml:space="preserve">dit </w:t>
      </w:r>
      <w:r w:rsidR="00141171" w:rsidRPr="003C6F4A">
        <w:rPr>
          <w:color w:val="000000"/>
        </w:rPr>
        <w:t xml:space="preserve">geldt niet </w:t>
      </w:r>
      <w:r w:rsidR="00AA6907" w:rsidRPr="003C6F4A">
        <w:rPr>
          <w:color w:val="000000"/>
        </w:rPr>
        <w:t>bij zorg in natura op grond van de AWBZ</w:t>
      </w:r>
      <w:r>
        <w:rPr>
          <w:color w:val="000000"/>
        </w:rPr>
        <w:t>”</w:t>
      </w:r>
      <w:r w:rsidR="00AA6907" w:rsidRPr="003C6F4A">
        <w:rPr>
          <w:color w:val="000000"/>
        </w:rPr>
        <w:t>.</w:t>
      </w:r>
    </w:p>
    <w:p w:rsidR="00141171" w:rsidRPr="003C6F4A" w:rsidRDefault="00141171"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141171" w:rsidRPr="003C6F4A" w:rsidRDefault="00141171" w:rsidP="00765DBF">
      <w:pPr>
        <w:rPr>
          <w:color w:val="000000"/>
        </w:rPr>
      </w:pPr>
      <w:r w:rsidRPr="003C6F4A">
        <w:rPr>
          <w:color w:val="000000"/>
        </w:rPr>
        <w:t xml:space="preserve">Toelichting: </w:t>
      </w:r>
    </w:p>
    <w:p w:rsidR="009045F8" w:rsidRPr="003C6F4A" w:rsidRDefault="00AA6907" w:rsidP="00765DBF">
      <w:pPr>
        <w:rPr>
          <w:color w:val="000000"/>
        </w:rPr>
      </w:pPr>
      <w:r w:rsidRPr="003C6F4A">
        <w:rPr>
          <w:color w:val="000000"/>
        </w:rPr>
        <w:t xml:space="preserve">Het zorgkantoor koopt de zorg in bij de aanbieders van gehandicaptenzorg. De zorgaanbieder brengt hiervoor geen tarief in rekening </w:t>
      </w:r>
      <w:r w:rsidR="009045F8" w:rsidRPr="003C6F4A">
        <w:rPr>
          <w:color w:val="000000"/>
        </w:rPr>
        <w:t xml:space="preserve">aan </w:t>
      </w:r>
      <w:r w:rsidRPr="003C6F4A">
        <w:rPr>
          <w:color w:val="000000"/>
        </w:rPr>
        <w:t xml:space="preserve">de cliënt. </w:t>
      </w:r>
    </w:p>
    <w:p w:rsidR="009045F8" w:rsidRPr="003C6F4A" w:rsidRDefault="009045F8" w:rsidP="00765DBF">
      <w:pPr>
        <w:rPr>
          <w:color w:val="000000"/>
        </w:rPr>
      </w:pPr>
    </w:p>
    <w:p w:rsidR="001276CD" w:rsidRPr="003C6F4A" w:rsidRDefault="00141171" w:rsidP="00765DBF">
      <w:pPr>
        <w:rPr>
          <w:color w:val="000000"/>
        </w:rPr>
      </w:pPr>
      <w:r w:rsidRPr="003C6F4A">
        <w:rPr>
          <w:color w:val="000000"/>
        </w:rPr>
        <w:t>Wij menen dat de met het zorgkantoor afge</w:t>
      </w:r>
      <w:r w:rsidR="001276CD" w:rsidRPr="003C6F4A">
        <w:rPr>
          <w:color w:val="000000"/>
        </w:rPr>
        <w:t>s</w:t>
      </w:r>
      <w:r w:rsidRPr="003C6F4A">
        <w:rPr>
          <w:color w:val="000000"/>
        </w:rPr>
        <w:t xml:space="preserve">proken prijs niet </w:t>
      </w:r>
      <w:r w:rsidR="001276CD" w:rsidRPr="003C6F4A">
        <w:rPr>
          <w:color w:val="000000"/>
        </w:rPr>
        <w:t xml:space="preserve">door de zorgaanbieder aan de cliënt </w:t>
      </w:r>
      <w:r w:rsidRPr="003C6F4A">
        <w:rPr>
          <w:color w:val="000000"/>
        </w:rPr>
        <w:t xml:space="preserve">bekend gemaakt hoeft te worden. </w:t>
      </w:r>
    </w:p>
    <w:p w:rsidR="003976F4" w:rsidRPr="003C6F4A" w:rsidRDefault="003976F4" w:rsidP="00765DBF">
      <w:pPr>
        <w:rPr>
          <w:color w:val="000000"/>
        </w:rPr>
      </w:pPr>
    </w:p>
    <w:p w:rsidR="0020315F" w:rsidRPr="003C6F4A" w:rsidRDefault="006D49E4" w:rsidP="00765DBF">
      <w:pPr>
        <w:rPr>
          <w:color w:val="000000"/>
        </w:rPr>
      </w:pPr>
      <w:r w:rsidRPr="00B3273A">
        <w:rPr>
          <w:color w:val="000000"/>
          <w:u w:val="single"/>
        </w:rPr>
        <w:t xml:space="preserve">Bij </w:t>
      </w:r>
      <w:r w:rsidR="009045F8" w:rsidRPr="00B3273A">
        <w:rPr>
          <w:color w:val="000000"/>
          <w:u w:val="single"/>
        </w:rPr>
        <w:t xml:space="preserve">het onderwerp </w:t>
      </w:r>
      <w:r w:rsidRPr="00B3273A">
        <w:rPr>
          <w:color w:val="000000"/>
          <w:u w:val="single"/>
        </w:rPr>
        <w:t>prijs</w:t>
      </w:r>
      <w:r w:rsidRPr="003C6F4A">
        <w:rPr>
          <w:color w:val="000000"/>
        </w:rPr>
        <w:t xml:space="preserve"> (bladzijde 14)</w:t>
      </w:r>
      <w:r w:rsidR="005C3F84">
        <w:rPr>
          <w:color w:val="000000"/>
        </w:rPr>
        <w:t>:</w:t>
      </w:r>
    </w:p>
    <w:p w:rsidR="006D49E4" w:rsidRPr="003C6F4A" w:rsidRDefault="006D49E4" w:rsidP="00765DBF">
      <w:pPr>
        <w:rPr>
          <w:color w:val="000000"/>
        </w:rPr>
      </w:pPr>
      <w:r w:rsidRPr="003C6F4A">
        <w:rPr>
          <w:color w:val="000000"/>
        </w:rPr>
        <w:t>Wij zijn het niet eens met de informatieplicht van de zorgaanbieder voor de wettelijke eigen bijdrage op grond van de AWBZ. Wij vinden dat deze verplichting bij het zorgkantoor en het CAK thuis hoort</w:t>
      </w:r>
      <w:r w:rsidR="00341A6C" w:rsidRPr="003C6F4A">
        <w:rPr>
          <w:color w:val="000000"/>
        </w:rPr>
        <w:t xml:space="preserve">. Het ligt </w:t>
      </w:r>
      <w:r w:rsidR="009045F8" w:rsidRPr="003C6F4A">
        <w:rPr>
          <w:color w:val="000000"/>
        </w:rPr>
        <w:t xml:space="preserve">volgens ons </w:t>
      </w:r>
      <w:r w:rsidR="00341A6C" w:rsidRPr="003C6F4A">
        <w:rPr>
          <w:color w:val="000000"/>
        </w:rPr>
        <w:t xml:space="preserve">in de rede dat het zorgkantoor bij de zorgtoewijzing de AWBZ verzekerde informeert dat een eigen bijdrage is verschuldigd en deze </w:t>
      </w:r>
      <w:r w:rsidR="009045F8" w:rsidRPr="003C6F4A">
        <w:rPr>
          <w:color w:val="000000"/>
        </w:rPr>
        <w:t xml:space="preserve">hiervoor </w:t>
      </w:r>
      <w:r w:rsidR="00341A6C" w:rsidRPr="003C6F4A">
        <w:rPr>
          <w:color w:val="000000"/>
        </w:rPr>
        <w:t xml:space="preserve">verwijst naar het CAK. Temeer omdat de eigen bijdrage regels aan veranderingen onderhevig zijn. </w:t>
      </w:r>
    </w:p>
    <w:p w:rsidR="003976F4" w:rsidRDefault="003976F4" w:rsidP="00765DBF">
      <w:pPr>
        <w:rPr>
          <w:color w:val="000000"/>
        </w:rPr>
      </w:pPr>
    </w:p>
    <w:p w:rsidR="009045F8" w:rsidRPr="003C6F4A" w:rsidRDefault="003976F4" w:rsidP="00765DBF">
      <w:pPr>
        <w:rPr>
          <w:color w:val="000000"/>
        </w:rPr>
      </w:pPr>
      <w:r w:rsidRPr="003C6F4A">
        <w:rPr>
          <w:color w:val="000000"/>
        </w:rPr>
        <w:t xml:space="preserve">Bij </w:t>
      </w:r>
      <w:r w:rsidR="00E1536A" w:rsidRPr="003C6F4A">
        <w:rPr>
          <w:color w:val="000000"/>
        </w:rPr>
        <w:t>het voorbeeld worden instellingsspecifiek eigen bijdrage genoemd</w:t>
      </w:r>
      <w:r w:rsidR="009045F8" w:rsidRPr="003C6F4A">
        <w:rPr>
          <w:color w:val="000000"/>
        </w:rPr>
        <w:t xml:space="preserve"> v</w:t>
      </w:r>
      <w:r w:rsidR="00E1536A" w:rsidRPr="003C6F4A">
        <w:rPr>
          <w:color w:val="000000"/>
        </w:rPr>
        <w:t>oor Pl</w:t>
      </w:r>
      <w:r w:rsidR="009045F8" w:rsidRPr="003C6F4A">
        <w:rPr>
          <w:color w:val="000000"/>
        </w:rPr>
        <w:t>uszorg of aanvullende zorg. De</w:t>
      </w:r>
      <w:r w:rsidR="00E1536A" w:rsidRPr="003C6F4A">
        <w:rPr>
          <w:color w:val="000000"/>
        </w:rPr>
        <w:t xml:space="preserve"> term eigen bijdrage is </w:t>
      </w:r>
      <w:r w:rsidR="009045F8" w:rsidRPr="003C6F4A">
        <w:rPr>
          <w:color w:val="000000"/>
        </w:rPr>
        <w:t xml:space="preserve">in dit verband </w:t>
      </w:r>
      <w:r w:rsidR="00E1536A" w:rsidRPr="003C6F4A">
        <w:rPr>
          <w:color w:val="000000"/>
        </w:rPr>
        <w:t>verwarrend</w:t>
      </w:r>
      <w:r w:rsidR="009045F8" w:rsidRPr="003C6F4A">
        <w:rPr>
          <w:color w:val="000000"/>
        </w:rPr>
        <w:t>, gezien de wettelijke eigen bijdrage</w:t>
      </w:r>
      <w:r w:rsidR="00E1536A" w:rsidRPr="003C6F4A">
        <w:rPr>
          <w:color w:val="000000"/>
        </w:rPr>
        <w:t xml:space="preserve">. Het gaat volgens de VGN </w:t>
      </w:r>
      <w:r w:rsidR="009045F8" w:rsidRPr="003C6F4A">
        <w:rPr>
          <w:color w:val="000000"/>
        </w:rPr>
        <w:t xml:space="preserve">vaak </w:t>
      </w:r>
      <w:r w:rsidR="00E1536A" w:rsidRPr="003C6F4A">
        <w:rPr>
          <w:color w:val="000000"/>
        </w:rPr>
        <w:t xml:space="preserve">niet </w:t>
      </w:r>
      <w:r w:rsidR="009045F8" w:rsidRPr="003C6F4A">
        <w:rPr>
          <w:color w:val="000000"/>
        </w:rPr>
        <w:t xml:space="preserve">zozeer om </w:t>
      </w:r>
      <w:r w:rsidR="00E1536A" w:rsidRPr="003C6F4A">
        <w:rPr>
          <w:color w:val="000000"/>
        </w:rPr>
        <w:t>een bijdrage, maar om de kostprijs</w:t>
      </w:r>
      <w:r w:rsidR="00280527">
        <w:rPr>
          <w:color w:val="000000"/>
        </w:rPr>
        <w:t xml:space="preserve"> en dus betaling </w:t>
      </w:r>
      <w:r w:rsidR="00E1536A" w:rsidRPr="003C6F4A">
        <w:rPr>
          <w:color w:val="000000"/>
        </w:rPr>
        <w:t xml:space="preserve">van een dienst. Ook de aanduiding </w:t>
      </w:r>
      <w:r w:rsidRPr="003C6F4A">
        <w:rPr>
          <w:color w:val="000000"/>
        </w:rPr>
        <w:t xml:space="preserve">aanvullende diensten of </w:t>
      </w:r>
      <w:r w:rsidR="00E1536A" w:rsidRPr="003C6F4A">
        <w:rPr>
          <w:color w:val="000000"/>
        </w:rPr>
        <w:t xml:space="preserve">Pluspaketten </w:t>
      </w:r>
      <w:r w:rsidR="009045F8" w:rsidRPr="003C6F4A">
        <w:rPr>
          <w:color w:val="000000"/>
        </w:rPr>
        <w:t xml:space="preserve">vinden wij </w:t>
      </w:r>
      <w:r w:rsidR="00E1536A" w:rsidRPr="003C6F4A">
        <w:rPr>
          <w:color w:val="000000"/>
        </w:rPr>
        <w:t xml:space="preserve">niet helder. </w:t>
      </w:r>
      <w:r w:rsidR="003A4865">
        <w:rPr>
          <w:color w:val="000000"/>
        </w:rPr>
        <w:t xml:space="preserve">Wat verstaat uw NZa hieronder? </w:t>
      </w:r>
    </w:p>
    <w:p w:rsidR="00413E04" w:rsidRDefault="00413E04" w:rsidP="00765DBF">
      <w:pPr>
        <w:rPr>
          <w:color w:val="000000"/>
        </w:rPr>
      </w:pPr>
    </w:p>
    <w:p w:rsidR="003976F4" w:rsidRPr="008A247E" w:rsidRDefault="00E1536A" w:rsidP="00765DBF">
      <w:pPr>
        <w:rPr>
          <w:color w:val="000000"/>
          <w:vertAlign w:val="superscript"/>
        </w:rPr>
      </w:pPr>
      <w:r w:rsidRPr="003C6F4A">
        <w:rPr>
          <w:color w:val="000000"/>
        </w:rPr>
        <w:t xml:space="preserve">Als zorgaanbieders aanvullende diensten </w:t>
      </w:r>
      <w:r w:rsidR="003976F4" w:rsidRPr="003C6F4A">
        <w:rPr>
          <w:color w:val="000000"/>
        </w:rPr>
        <w:t xml:space="preserve">leveren </w:t>
      </w:r>
      <w:r w:rsidR="003976F4" w:rsidRPr="003C6F4A">
        <w:rPr>
          <w:color w:val="000000"/>
          <w:u w:val="single"/>
        </w:rPr>
        <w:t>en</w:t>
      </w:r>
      <w:r w:rsidR="003976F4" w:rsidRPr="003C6F4A">
        <w:rPr>
          <w:color w:val="000000"/>
        </w:rPr>
        <w:t xml:space="preserve"> die </w:t>
      </w:r>
      <w:r w:rsidRPr="003C6F4A">
        <w:rPr>
          <w:color w:val="000000"/>
        </w:rPr>
        <w:t xml:space="preserve">diensten </w:t>
      </w:r>
      <w:r w:rsidR="003976F4" w:rsidRPr="003C6F4A">
        <w:rPr>
          <w:color w:val="000000"/>
        </w:rPr>
        <w:t>niet kwalificeren als zorg omschreven in artikel 1 sub b</w:t>
      </w:r>
      <w:r w:rsidR="008A247E">
        <w:rPr>
          <w:color w:val="000000"/>
        </w:rPr>
        <w:t>.</w:t>
      </w:r>
      <w:r w:rsidR="003976F4" w:rsidRPr="003C6F4A">
        <w:rPr>
          <w:color w:val="000000"/>
        </w:rPr>
        <w:t xml:space="preserve"> 1</w:t>
      </w:r>
      <w:r w:rsidR="008A247E">
        <w:rPr>
          <w:color w:val="000000"/>
          <w:vertAlign w:val="superscript"/>
        </w:rPr>
        <w:t>˚</w:t>
      </w:r>
      <w:r w:rsidR="003976F4" w:rsidRPr="003C6F4A">
        <w:rPr>
          <w:color w:val="000000"/>
        </w:rPr>
        <w:t>en 2</w:t>
      </w:r>
      <w:r w:rsidR="008A247E">
        <w:rPr>
          <w:color w:val="000000"/>
          <w:vertAlign w:val="superscript"/>
        </w:rPr>
        <w:t>˚</w:t>
      </w:r>
      <w:r w:rsidR="003976F4" w:rsidRPr="003C6F4A">
        <w:rPr>
          <w:color w:val="000000"/>
          <w:vertAlign w:val="superscript"/>
        </w:rPr>
        <w:t xml:space="preserve"> </w:t>
      </w:r>
      <w:r w:rsidRPr="003C6F4A">
        <w:rPr>
          <w:color w:val="000000"/>
        </w:rPr>
        <w:t xml:space="preserve">is het voor ons zeer de vraag of </w:t>
      </w:r>
      <w:r w:rsidR="003976F4" w:rsidRPr="003C6F4A">
        <w:rPr>
          <w:color w:val="000000"/>
        </w:rPr>
        <w:t>de voorschriften van uw NZa</w:t>
      </w:r>
      <w:r w:rsidRPr="003C6F4A">
        <w:rPr>
          <w:color w:val="000000"/>
        </w:rPr>
        <w:t xml:space="preserve"> hierop betrekking kunnen hebben. </w:t>
      </w:r>
      <w:r w:rsidR="00B1688D" w:rsidRPr="003C6F4A">
        <w:rPr>
          <w:color w:val="000000"/>
        </w:rPr>
        <w:t xml:space="preserve">Bijvoorbeeld de waskosten die niet tot de AWBZ aanspraak behoren of het beheren van cliëntgelden. </w:t>
      </w:r>
      <w:r w:rsidR="003A4865">
        <w:rPr>
          <w:color w:val="000000"/>
        </w:rPr>
        <w:t xml:space="preserve">Behoren deze volgens uw NZa tot uw toezicht en op grond waarvan of een andere toezichthouder (Consumentenautoriteit of Autoriteit Financiële markten? </w:t>
      </w:r>
      <w:r w:rsidRPr="003C6F4A">
        <w:rPr>
          <w:color w:val="000000"/>
        </w:rPr>
        <w:t xml:space="preserve">Wij vragen uw NZa om dit te </w:t>
      </w:r>
      <w:r w:rsidR="00006A3E" w:rsidRPr="003C6F4A">
        <w:rPr>
          <w:color w:val="000000"/>
        </w:rPr>
        <w:t>verduidelijken</w:t>
      </w:r>
      <w:r w:rsidR="00B1688D" w:rsidRPr="003C6F4A">
        <w:rPr>
          <w:color w:val="000000"/>
        </w:rPr>
        <w:t xml:space="preserve">. </w:t>
      </w:r>
    </w:p>
    <w:p w:rsidR="00B1688D" w:rsidRPr="003C6F4A" w:rsidRDefault="00B1688D" w:rsidP="00765DBF">
      <w:pPr>
        <w:rPr>
          <w:color w:val="000000"/>
        </w:rPr>
      </w:pPr>
    </w:p>
    <w:p w:rsidR="00794059" w:rsidRPr="003A4865" w:rsidRDefault="00794059" w:rsidP="00765DBF">
      <w:pPr>
        <w:rPr>
          <w:color w:val="000000"/>
          <w:u w:val="single"/>
        </w:rPr>
      </w:pPr>
      <w:r w:rsidRPr="003A4865">
        <w:rPr>
          <w:color w:val="000000"/>
          <w:u w:val="single"/>
        </w:rPr>
        <w:t xml:space="preserve">Bij </w:t>
      </w:r>
      <w:r w:rsidR="006816E0" w:rsidRPr="003A4865">
        <w:rPr>
          <w:color w:val="000000"/>
          <w:u w:val="single"/>
        </w:rPr>
        <w:t xml:space="preserve">het onderwerp </w:t>
      </w:r>
      <w:r w:rsidRPr="003A4865">
        <w:rPr>
          <w:color w:val="000000"/>
          <w:u w:val="single"/>
        </w:rPr>
        <w:t xml:space="preserve">toegankelijkheid </w:t>
      </w:r>
    </w:p>
    <w:p w:rsidR="00F0304E" w:rsidRPr="003C6F4A" w:rsidRDefault="000D0787" w:rsidP="00765DBF">
      <w:pPr>
        <w:rPr>
          <w:color w:val="000000"/>
        </w:rPr>
      </w:pPr>
      <w:r w:rsidRPr="003C6F4A">
        <w:rPr>
          <w:color w:val="000000"/>
        </w:rPr>
        <w:t xml:space="preserve">De voorbeelden </w:t>
      </w:r>
      <w:r w:rsidR="00F0304E" w:rsidRPr="003C6F4A">
        <w:rPr>
          <w:color w:val="000000"/>
        </w:rPr>
        <w:t xml:space="preserve">zijn vooral </w:t>
      </w:r>
      <w:r w:rsidRPr="003C6F4A">
        <w:rPr>
          <w:color w:val="000000"/>
        </w:rPr>
        <w:t xml:space="preserve">toegespitst op de curatieve sector. De wachttijd binnen de gehandicaptensector is bijvoorbeeld bij </w:t>
      </w:r>
      <w:r w:rsidR="00F0304E" w:rsidRPr="003C6F4A">
        <w:rPr>
          <w:color w:val="000000"/>
        </w:rPr>
        <w:t xml:space="preserve">tracheastomale ademhalingsondersteuning, een vorm van </w:t>
      </w:r>
      <w:r w:rsidRPr="003C6F4A">
        <w:rPr>
          <w:color w:val="000000"/>
        </w:rPr>
        <w:t xml:space="preserve">langdurig </w:t>
      </w:r>
      <w:r w:rsidR="00F0304E" w:rsidRPr="003C6F4A">
        <w:rPr>
          <w:color w:val="000000"/>
        </w:rPr>
        <w:t xml:space="preserve">specialistisch verblijf, </w:t>
      </w:r>
      <w:r w:rsidRPr="003C6F4A">
        <w:rPr>
          <w:color w:val="000000"/>
        </w:rPr>
        <w:t>vooraf</w:t>
      </w:r>
      <w:r w:rsidR="00F0304E" w:rsidRPr="003C6F4A">
        <w:rPr>
          <w:color w:val="000000"/>
        </w:rPr>
        <w:t xml:space="preserve"> niet goed te bepalen. Dit omdat deze zorg vaak levenlang geboden wordt</w:t>
      </w:r>
      <w:r w:rsidR="00451188" w:rsidRPr="003C6F4A">
        <w:rPr>
          <w:color w:val="000000"/>
        </w:rPr>
        <w:t xml:space="preserve">, waardoor nauwelijks een tijdsaanduiding voor een vrijkomende verblijfplaats gegeven kan worden. </w:t>
      </w:r>
    </w:p>
    <w:p w:rsidR="00F0304E" w:rsidRPr="003C6F4A" w:rsidRDefault="00F0304E" w:rsidP="00765DBF">
      <w:pPr>
        <w:rPr>
          <w:color w:val="000000"/>
        </w:rPr>
      </w:pPr>
    </w:p>
    <w:p w:rsidR="00FC3564" w:rsidRDefault="00F0304E" w:rsidP="00765DBF">
      <w:pPr>
        <w:rPr>
          <w:color w:val="000000"/>
        </w:rPr>
      </w:pPr>
      <w:r w:rsidRPr="003C6F4A">
        <w:rPr>
          <w:color w:val="000000"/>
        </w:rPr>
        <w:t xml:space="preserve">Wij vinden dat </w:t>
      </w:r>
      <w:r w:rsidR="003C3C4E" w:rsidRPr="003C6F4A">
        <w:rPr>
          <w:color w:val="000000"/>
        </w:rPr>
        <w:t xml:space="preserve">in ieder geval </w:t>
      </w:r>
      <w:r w:rsidRPr="003C6F4A">
        <w:rPr>
          <w:color w:val="000000"/>
        </w:rPr>
        <w:t xml:space="preserve">voorkomen moet worden dat verschillende definities voor wachttijden gehanteerd gaan worden. </w:t>
      </w:r>
      <w:r w:rsidR="00794059" w:rsidRPr="003C6F4A">
        <w:rPr>
          <w:color w:val="000000"/>
        </w:rPr>
        <w:t xml:space="preserve">De VGN </w:t>
      </w:r>
      <w:r w:rsidR="006816E0" w:rsidRPr="003C6F4A">
        <w:rPr>
          <w:color w:val="000000"/>
        </w:rPr>
        <w:t xml:space="preserve">pleit hier allereerst voor </w:t>
      </w:r>
      <w:r w:rsidR="00794059" w:rsidRPr="003C6F4A">
        <w:rPr>
          <w:color w:val="000000"/>
        </w:rPr>
        <w:t xml:space="preserve">uitstel van </w:t>
      </w:r>
      <w:r w:rsidRPr="003C6F4A">
        <w:rPr>
          <w:color w:val="000000"/>
        </w:rPr>
        <w:t xml:space="preserve">de verplichting voor </w:t>
      </w:r>
      <w:r w:rsidR="00794059" w:rsidRPr="003C6F4A">
        <w:rPr>
          <w:color w:val="000000"/>
        </w:rPr>
        <w:t xml:space="preserve">wachttijdinformatie voor </w:t>
      </w:r>
      <w:r w:rsidRPr="003C6F4A">
        <w:rPr>
          <w:color w:val="000000"/>
        </w:rPr>
        <w:t xml:space="preserve">aanbieders van </w:t>
      </w:r>
      <w:r w:rsidR="006816E0" w:rsidRPr="003C6F4A">
        <w:rPr>
          <w:color w:val="000000"/>
        </w:rPr>
        <w:t>gehandicapten</w:t>
      </w:r>
      <w:r w:rsidRPr="003C6F4A">
        <w:rPr>
          <w:color w:val="000000"/>
        </w:rPr>
        <w:t>zorg.</w:t>
      </w:r>
      <w:r w:rsidR="006816E0" w:rsidRPr="003C6F4A">
        <w:rPr>
          <w:color w:val="000000"/>
        </w:rPr>
        <w:t xml:space="preserve"> </w:t>
      </w:r>
      <w:r w:rsidRPr="003C6F4A">
        <w:rPr>
          <w:color w:val="000000"/>
        </w:rPr>
        <w:t>Dit ook om e</w:t>
      </w:r>
      <w:r w:rsidR="00794059" w:rsidRPr="003C6F4A">
        <w:rPr>
          <w:color w:val="000000"/>
        </w:rPr>
        <w:t xml:space="preserve">en kort onderzoek </w:t>
      </w:r>
      <w:r w:rsidR="006816E0" w:rsidRPr="003C6F4A">
        <w:rPr>
          <w:color w:val="000000"/>
        </w:rPr>
        <w:t xml:space="preserve">te doen </w:t>
      </w:r>
      <w:r w:rsidR="00794059" w:rsidRPr="003C6F4A">
        <w:rPr>
          <w:color w:val="000000"/>
        </w:rPr>
        <w:t>naar de mogelijkheid om de definitie van wachttijd aan te laten sluiten bij die in de AZR</w:t>
      </w:r>
      <w:r w:rsidR="006816E0" w:rsidRPr="003C6F4A">
        <w:rPr>
          <w:color w:val="000000"/>
        </w:rPr>
        <w:t xml:space="preserve"> </w:t>
      </w:r>
      <w:r w:rsidR="00794059" w:rsidRPr="003C6F4A">
        <w:rPr>
          <w:color w:val="000000"/>
        </w:rPr>
        <w:t xml:space="preserve">en bij publicatie gebruik te maken van die gegevens. </w:t>
      </w:r>
      <w:r w:rsidRPr="003C6F4A">
        <w:rPr>
          <w:color w:val="000000"/>
        </w:rPr>
        <w:t xml:space="preserve">In AZR3 worden statussen van wachten geïntroduceerd. </w:t>
      </w: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FC3564" w:rsidRDefault="00FC3564" w:rsidP="00765DBF">
      <w:pPr>
        <w:rPr>
          <w:color w:val="000000"/>
        </w:rPr>
      </w:pPr>
    </w:p>
    <w:p w:rsidR="00794059" w:rsidRPr="003C6F4A" w:rsidRDefault="00794059" w:rsidP="00765DBF">
      <w:pPr>
        <w:rPr>
          <w:color w:val="000000"/>
        </w:rPr>
      </w:pPr>
      <w:r w:rsidRPr="003C6F4A">
        <w:rPr>
          <w:color w:val="000000"/>
        </w:rPr>
        <w:t>Wat het tijdspad betreft: AZR3 wordt geïmplementeerd voorjaar 2011, is in gebruik vanaf juli 2011, dan moeten wachtlijststatussen worden ingevoerd, dus beschikbaar vanaf januari 2012</w:t>
      </w:r>
      <w:r w:rsidR="00FC3564">
        <w:rPr>
          <w:color w:val="000000"/>
        </w:rPr>
        <w:t>.</w:t>
      </w:r>
    </w:p>
    <w:p w:rsidR="00794059" w:rsidRPr="003C6F4A" w:rsidRDefault="00794059" w:rsidP="00765DBF">
      <w:pPr>
        <w:rPr>
          <w:color w:val="000000"/>
        </w:rPr>
      </w:pPr>
    </w:p>
    <w:p w:rsidR="00F11364" w:rsidRPr="003C6F4A" w:rsidRDefault="00794059" w:rsidP="00765DBF">
      <w:pPr>
        <w:rPr>
          <w:color w:val="000000"/>
        </w:rPr>
      </w:pPr>
      <w:r w:rsidRPr="003C6F4A">
        <w:rPr>
          <w:color w:val="000000"/>
        </w:rPr>
        <w:t xml:space="preserve">Wat betreft de mogelijkheid om op een later moment de richtlijn voor wachttijden </w:t>
      </w:r>
      <w:r w:rsidR="006816E0" w:rsidRPr="003C6F4A">
        <w:rPr>
          <w:color w:val="000000"/>
        </w:rPr>
        <w:t>uniformer te formuleren geeft uw</w:t>
      </w:r>
      <w:r w:rsidRPr="003C6F4A">
        <w:rPr>
          <w:color w:val="000000"/>
        </w:rPr>
        <w:t xml:space="preserve"> NZa geen duidelijkheid over de criteria waaronder zij </w:t>
      </w:r>
    </w:p>
    <w:p w:rsidR="00033B5A" w:rsidRPr="003C6F4A" w:rsidRDefault="00794059" w:rsidP="00765DBF">
      <w:pPr>
        <w:rPr>
          <w:color w:val="000000"/>
        </w:rPr>
      </w:pPr>
      <w:r w:rsidRPr="003C6F4A">
        <w:rPr>
          <w:color w:val="000000"/>
        </w:rPr>
        <w:t xml:space="preserve">beslist, en welk tijdspad daarbij past. Als een </w:t>
      </w:r>
      <w:r w:rsidR="006816E0" w:rsidRPr="003C6F4A">
        <w:rPr>
          <w:color w:val="000000"/>
        </w:rPr>
        <w:t xml:space="preserve">aanbieder van gehandicaptenzorg </w:t>
      </w:r>
      <w:r w:rsidRPr="003C6F4A">
        <w:rPr>
          <w:color w:val="000000"/>
        </w:rPr>
        <w:t>nu investeert in het presenteren van wachtlijstgegevens, inclusief een held</w:t>
      </w:r>
      <w:r w:rsidR="006816E0" w:rsidRPr="003C6F4A">
        <w:rPr>
          <w:color w:val="000000"/>
        </w:rPr>
        <w:t xml:space="preserve">ere definitie en </w:t>
      </w:r>
    </w:p>
    <w:p w:rsidR="00F0304E" w:rsidRPr="003C6F4A" w:rsidRDefault="006816E0" w:rsidP="00765DBF">
      <w:pPr>
        <w:rPr>
          <w:color w:val="000000"/>
        </w:rPr>
      </w:pPr>
      <w:r w:rsidRPr="003C6F4A">
        <w:rPr>
          <w:color w:val="000000"/>
        </w:rPr>
        <w:t>verantwoording en uw</w:t>
      </w:r>
      <w:r w:rsidR="00794059" w:rsidRPr="003C6F4A">
        <w:rPr>
          <w:color w:val="000000"/>
        </w:rPr>
        <w:t xml:space="preserve"> NZa </w:t>
      </w:r>
      <w:r w:rsidRPr="003C6F4A">
        <w:rPr>
          <w:color w:val="000000"/>
        </w:rPr>
        <w:t xml:space="preserve">zou </w:t>
      </w:r>
      <w:r w:rsidR="00794059" w:rsidRPr="003C6F4A">
        <w:rPr>
          <w:color w:val="000000"/>
        </w:rPr>
        <w:t xml:space="preserve">in 2012 met een eigen (andere) definitie, dan </w:t>
      </w:r>
      <w:r w:rsidRPr="003C6F4A">
        <w:rPr>
          <w:color w:val="000000"/>
        </w:rPr>
        <w:t xml:space="preserve">gaat hier een negatieve prikkel vanuit. Wij vinden het van belang dat </w:t>
      </w:r>
      <w:r w:rsidR="00794059" w:rsidRPr="003C6F4A">
        <w:rPr>
          <w:color w:val="000000"/>
        </w:rPr>
        <w:t>de NZa duidelijk aangee</w:t>
      </w:r>
      <w:r w:rsidRPr="003C6F4A">
        <w:rPr>
          <w:color w:val="000000"/>
        </w:rPr>
        <w:t xml:space="preserve">ft of </w:t>
      </w:r>
    </w:p>
    <w:p w:rsidR="00794059" w:rsidRPr="003C6F4A" w:rsidRDefault="006816E0" w:rsidP="00765DBF">
      <w:pPr>
        <w:rPr>
          <w:color w:val="000000"/>
        </w:rPr>
      </w:pPr>
      <w:r w:rsidRPr="003C6F4A">
        <w:rPr>
          <w:color w:val="000000"/>
        </w:rPr>
        <w:t>en zo ja onder welke voorwaarden zij zal overgaan</w:t>
      </w:r>
      <w:r w:rsidR="00794059" w:rsidRPr="003C6F4A">
        <w:rPr>
          <w:color w:val="000000"/>
        </w:rPr>
        <w:t xml:space="preserve"> tot het zelf stellen van richtlijnen voor wachttijden</w:t>
      </w:r>
      <w:r w:rsidRPr="003C6F4A">
        <w:rPr>
          <w:color w:val="000000"/>
        </w:rPr>
        <w:t xml:space="preserve">. </w:t>
      </w:r>
    </w:p>
    <w:p w:rsidR="00AD2EFD" w:rsidRDefault="00AD2EFD" w:rsidP="00765DBF">
      <w:pPr>
        <w:rPr>
          <w:i/>
          <w:color w:val="000000"/>
        </w:rPr>
      </w:pPr>
    </w:p>
    <w:p w:rsidR="00F11364" w:rsidRPr="00A0319C" w:rsidRDefault="00F11364" w:rsidP="00765DBF">
      <w:pPr>
        <w:rPr>
          <w:i/>
          <w:color w:val="000000"/>
        </w:rPr>
      </w:pPr>
      <w:r w:rsidRPr="00A0319C">
        <w:rPr>
          <w:i/>
          <w:color w:val="000000"/>
        </w:rPr>
        <w:t xml:space="preserve">Tabel 2: vormen van misleidende informatie </w:t>
      </w:r>
    </w:p>
    <w:p w:rsidR="00413E04" w:rsidRDefault="004E53D1" w:rsidP="00765DBF">
      <w:pPr>
        <w:rPr>
          <w:color w:val="000000"/>
        </w:rPr>
      </w:pPr>
      <w:r w:rsidRPr="003C6F4A">
        <w:rPr>
          <w:color w:val="000000"/>
        </w:rPr>
        <w:t xml:space="preserve">In kolom 2 tweede voorbeeld geeft uw NZa aan dat als de zorgaanbieder informatie geeft, deze juist moet zijn. </w:t>
      </w:r>
      <w:r w:rsidR="00FC01C8" w:rsidRPr="003C6F4A">
        <w:rPr>
          <w:color w:val="000000"/>
        </w:rPr>
        <w:t>Als een zorgaanbieder informeert zal hij proberen dit goed te doen</w:t>
      </w:r>
      <w:r w:rsidRPr="003C6F4A">
        <w:rPr>
          <w:color w:val="000000"/>
        </w:rPr>
        <w:t>.</w:t>
      </w:r>
      <w:r w:rsidR="00E672C6" w:rsidRPr="003C6F4A">
        <w:rPr>
          <w:color w:val="000000"/>
        </w:rPr>
        <w:t xml:space="preserve"> En beslist geen afbreuk willen doen aan de Zorgverzekeringswet of de AWBZ. </w:t>
      </w:r>
    </w:p>
    <w:p w:rsidR="00413E04" w:rsidRDefault="00413E04" w:rsidP="00765DBF">
      <w:pPr>
        <w:rPr>
          <w:color w:val="000000"/>
        </w:rPr>
      </w:pPr>
    </w:p>
    <w:p w:rsidR="004F5853" w:rsidRPr="003C6F4A" w:rsidRDefault="004E53D1" w:rsidP="00765DBF">
      <w:pPr>
        <w:rPr>
          <w:color w:val="000000"/>
        </w:rPr>
      </w:pPr>
      <w:r w:rsidRPr="003C6F4A">
        <w:rPr>
          <w:color w:val="000000"/>
        </w:rPr>
        <w:t>Wij vinden daarom het uitgangspunt v</w:t>
      </w:r>
      <w:r w:rsidR="009F3AC1" w:rsidRPr="003C6F4A">
        <w:rPr>
          <w:color w:val="000000"/>
        </w:rPr>
        <w:t xml:space="preserve">an </w:t>
      </w:r>
      <w:r w:rsidR="00627F66" w:rsidRPr="003C6F4A">
        <w:rPr>
          <w:color w:val="000000"/>
        </w:rPr>
        <w:t>misleiding</w:t>
      </w:r>
      <w:r w:rsidR="009F3AC1" w:rsidRPr="003C6F4A">
        <w:rPr>
          <w:color w:val="000000"/>
        </w:rPr>
        <w:t xml:space="preserve">, </w:t>
      </w:r>
      <w:r w:rsidRPr="003C6F4A">
        <w:rPr>
          <w:color w:val="000000"/>
        </w:rPr>
        <w:t xml:space="preserve">in geval de zorgaanbieder informatie verstrekt erg </w:t>
      </w:r>
      <w:r w:rsidR="009F3AC1" w:rsidRPr="003C6F4A">
        <w:rPr>
          <w:color w:val="000000"/>
        </w:rPr>
        <w:t>vergaand. Wij vinden dat hieraan voorafgaand duidelijk moet zijn dat de zorgaanbieder niet verplicht is om informatie te verstrekken over de dekking van het verzekerde pakket.</w:t>
      </w:r>
      <w:r w:rsidR="004F5853" w:rsidRPr="003C6F4A">
        <w:rPr>
          <w:color w:val="000000"/>
        </w:rPr>
        <w:t xml:space="preserve"> </w:t>
      </w:r>
    </w:p>
    <w:p w:rsidR="00DE7867" w:rsidRPr="003C6F4A" w:rsidRDefault="004E53D1" w:rsidP="00765DBF">
      <w:pPr>
        <w:rPr>
          <w:color w:val="000000"/>
        </w:rPr>
      </w:pPr>
      <w:r w:rsidRPr="003C6F4A">
        <w:rPr>
          <w:color w:val="000000"/>
        </w:rPr>
        <w:t xml:space="preserve">Bijvoorbeeld dat voor vergoeding van zorg ten laste van de AWBZ de verzekerde een indicatie nodig heeft, hoort thuis bij zijn zorgkantoor. </w:t>
      </w:r>
      <w:r w:rsidR="004F5853" w:rsidRPr="003C6F4A">
        <w:rPr>
          <w:color w:val="000000"/>
        </w:rPr>
        <w:t xml:space="preserve">Met name </w:t>
      </w:r>
      <w:r w:rsidRPr="003C6F4A">
        <w:rPr>
          <w:color w:val="000000"/>
        </w:rPr>
        <w:t>bij grensgevallen</w:t>
      </w:r>
      <w:r w:rsidR="00DE7867" w:rsidRPr="003C6F4A">
        <w:rPr>
          <w:color w:val="000000"/>
        </w:rPr>
        <w:t xml:space="preserve"> ontstaan problemen. Wij hebben eerder aangehaald de problematiek van de aanvullende zorg ex artikel 15 AWBZ</w:t>
      </w:r>
      <w:r w:rsidR="004F5853" w:rsidRPr="003C6F4A">
        <w:rPr>
          <w:color w:val="000000"/>
        </w:rPr>
        <w:t>, zoals hulpmiddelen</w:t>
      </w:r>
      <w:r w:rsidR="00DE7867" w:rsidRPr="003C6F4A">
        <w:rPr>
          <w:color w:val="000000"/>
        </w:rPr>
        <w:t xml:space="preserve">. </w:t>
      </w:r>
      <w:r w:rsidR="004F5853" w:rsidRPr="003C6F4A">
        <w:rPr>
          <w:color w:val="000000"/>
        </w:rPr>
        <w:t xml:space="preserve">Zo is ook onduidelijk of in geval van </w:t>
      </w:r>
      <w:r w:rsidR="00DE7867" w:rsidRPr="003C6F4A">
        <w:rPr>
          <w:color w:val="000000"/>
        </w:rPr>
        <w:t>opname van een</w:t>
      </w:r>
      <w:r w:rsidR="004F5853" w:rsidRPr="003C6F4A">
        <w:rPr>
          <w:color w:val="000000"/>
        </w:rPr>
        <w:t xml:space="preserve"> gehandicapte verblijfscliënt </w:t>
      </w:r>
      <w:r w:rsidR="00DE7867" w:rsidRPr="003C6F4A">
        <w:rPr>
          <w:color w:val="000000"/>
        </w:rPr>
        <w:t>in het ziekenhuis of de benodigde begeleiding</w:t>
      </w:r>
      <w:r w:rsidR="004F5853" w:rsidRPr="003C6F4A">
        <w:rPr>
          <w:color w:val="000000"/>
        </w:rPr>
        <w:t xml:space="preserve"> tijdens diens opname in het ziekenhuis </w:t>
      </w:r>
      <w:r w:rsidR="00DE7867" w:rsidRPr="003C6F4A">
        <w:rPr>
          <w:color w:val="000000"/>
        </w:rPr>
        <w:t xml:space="preserve">onder de dekking van de Zorgverzekeringswet valt </w:t>
      </w:r>
      <w:r w:rsidR="004F5853" w:rsidRPr="003C6F4A">
        <w:rPr>
          <w:color w:val="000000"/>
        </w:rPr>
        <w:t xml:space="preserve">of </w:t>
      </w:r>
      <w:r w:rsidR="00DE7867" w:rsidRPr="003C6F4A">
        <w:rPr>
          <w:color w:val="000000"/>
        </w:rPr>
        <w:t>de AWBZ</w:t>
      </w:r>
      <w:r w:rsidR="004F5853" w:rsidRPr="003C6F4A">
        <w:rPr>
          <w:color w:val="000000"/>
        </w:rPr>
        <w:t>. Ook de beide bekostigingsregimes voor de zorgaanbieders zijn voor die laatste situatie niet helder.</w:t>
      </w:r>
    </w:p>
    <w:p w:rsidR="009F3AC1" w:rsidRPr="003C6F4A" w:rsidRDefault="009F3AC1" w:rsidP="00765DBF">
      <w:pPr>
        <w:rPr>
          <w:color w:val="000000"/>
        </w:rPr>
      </w:pPr>
    </w:p>
    <w:p w:rsidR="009F3AC1" w:rsidRPr="003C6F4A" w:rsidRDefault="009F3AC1" w:rsidP="00765DBF">
      <w:pPr>
        <w:rPr>
          <w:color w:val="000000"/>
        </w:rPr>
      </w:pPr>
      <w:r w:rsidRPr="003C6F4A">
        <w:rPr>
          <w:color w:val="000000"/>
        </w:rPr>
        <w:t>In de praktijk zal de cliënt vaak de zorgaanbieder voor informatie benaderen. Als uw NZa dan vanuit het uitgangspunt van misleiding oordeelt, zal de zorgaanbieder terughoudend zijn om informatie te verstrekken</w:t>
      </w:r>
      <w:r w:rsidR="00462FA9" w:rsidRPr="003C6F4A">
        <w:rPr>
          <w:color w:val="000000"/>
        </w:rPr>
        <w:t>.</w:t>
      </w:r>
    </w:p>
    <w:p w:rsidR="00B1688D" w:rsidRPr="003C6F4A" w:rsidRDefault="00B1688D" w:rsidP="00765DBF">
      <w:pPr>
        <w:rPr>
          <w:color w:val="000000"/>
        </w:rPr>
      </w:pPr>
    </w:p>
    <w:p w:rsidR="00462FA9" w:rsidRPr="003C6F4A" w:rsidRDefault="00990E26" w:rsidP="00765DBF">
      <w:pPr>
        <w:rPr>
          <w:i/>
          <w:color w:val="000000"/>
        </w:rPr>
      </w:pPr>
      <w:r>
        <w:rPr>
          <w:i/>
          <w:color w:val="000000"/>
        </w:rPr>
        <w:t xml:space="preserve">3. </w:t>
      </w:r>
      <w:r w:rsidR="00462FA9" w:rsidRPr="003C6F4A">
        <w:rPr>
          <w:i/>
          <w:color w:val="000000"/>
        </w:rPr>
        <w:t xml:space="preserve">Status van de beleidsregel. </w:t>
      </w:r>
    </w:p>
    <w:p w:rsidR="00EA093F" w:rsidRPr="003C6F4A" w:rsidRDefault="00EA093F" w:rsidP="00765DBF">
      <w:pPr>
        <w:rPr>
          <w:color w:val="000000"/>
        </w:rPr>
      </w:pPr>
      <w:r w:rsidRPr="003C6F4A">
        <w:rPr>
          <w:color w:val="000000"/>
        </w:rPr>
        <w:t xml:space="preserve">Het richtsnoer </w:t>
      </w:r>
      <w:r w:rsidRPr="003C6F4A">
        <w:rPr>
          <w:color w:val="000000"/>
          <w:u w:val="single"/>
        </w:rPr>
        <w:t>kan</w:t>
      </w:r>
      <w:r w:rsidRPr="003C6F4A">
        <w:rPr>
          <w:color w:val="000000"/>
        </w:rPr>
        <w:t xml:space="preserve"> worden gezien als en beleidsregel. Het woord kan is verwarrend. Wij vragen uw NZa om helder aan te geven of dit richtsnoer een beleidsregel </w:t>
      </w:r>
      <w:r w:rsidRPr="003C6F4A">
        <w:rPr>
          <w:color w:val="000000"/>
          <w:u w:val="single"/>
        </w:rPr>
        <w:t>is</w:t>
      </w:r>
      <w:r w:rsidRPr="003C6F4A">
        <w:rPr>
          <w:color w:val="000000"/>
        </w:rPr>
        <w:t xml:space="preserve"> als bedoeld in artikel 4:81 van de Algemene wet bestuursrecht.</w:t>
      </w:r>
    </w:p>
    <w:p w:rsidR="00EA093F" w:rsidRDefault="00EA093F" w:rsidP="00765DBF">
      <w:pPr>
        <w:rPr>
          <w:color w:val="000000"/>
        </w:rPr>
      </w:pPr>
    </w:p>
    <w:p w:rsidR="00EA093F" w:rsidRPr="003C6F4A" w:rsidRDefault="00EA093F" w:rsidP="00765DBF">
      <w:pPr>
        <w:rPr>
          <w:i/>
          <w:color w:val="000000"/>
        </w:rPr>
      </w:pPr>
      <w:r w:rsidRPr="003C6F4A">
        <w:rPr>
          <w:i/>
          <w:color w:val="000000"/>
        </w:rPr>
        <w:t>4</w:t>
      </w:r>
      <w:r w:rsidR="00990E26">
        <w:rPr>
          <w:i/>
          <w:color w:val="000000"/>
        </w:rPr>
        <w:t>.</w:t>
      </w:r>
      <w:r w:rsidRPr="003C6F4A">
        <w:rPr>
          <w:i/>
          <w:color w:val="000000"/>
        </w:rPr>
        <w:t xml:space="preserve"> Wettelijk kader</w:t>
      </w:r>
    </w:p>
    <w:p w:rsidR="00090AA3" w:rsidRPr="003C6F4A" w:rsidRDefault="00B1688D" w:rsidP="00765DBF">
      <w:pPr>
        <w:rPr>
          <w:color w:val="000000"/>
        </w:rPr>
      </w:pPr>
      <w:r w:rsidRPr="003C6F4A">
        <w:rPr>
          <w:color w:val="000000"/>
        </w:rPr>
        <w:t xml:space="preserve">Uw NZa geeft aan dat de artikelen 38 en 39 Wmg de grondslag vormen voor dit richtsnoer. Voor </w:t>
      </w:r>
      <w:r w:rsidR="00090AA3" w:rsidRPr="003C6F4A">
        <w:rPr>
          <w:color w:val="000000"/>
        </w:rPr>
        <w:t xml:space="preserve">helderheid over de competenties van uw NZa en die van de consumentenautoriteit en de Autoriteit Financiële markten, stellen wij u voor om hier nog de reikwijdte van uw competentie toe te lichten als bepaald in artikel 1 van de Wmg. </w:t>
      </w:r>
    </w:p>
    <w:sectPr w:rsidR="00090AA3" w:rsidRPr="003C6F4A" w:rsidSect="0025784C">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89" w:rsidRDefault="00BB2189" w:rsidP="00FF04C3">
      <w:pPr>
        <w:spacing w:line="240" w:lineRule="auto"/>
      </w:pPr>
      <w:r>
        <w:separator/>
      </w:r>
    </w:p>
  </w:endnote>
  <w:endnote w:type="continuationSeparator" w:id="0">
    <w:p w:rsidR="00BB2189" w:rsidRDefault="00BB2189" w:rsidP="00FF04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89" w:rsidRDefault="00BB2189" w:rsidP="00FF04C3">
      <w:pPr>
        <w:spacing w:line="240" w:lineRule="auto"/>
      </w:pPr>
      <w:r>
        <w:separator/>
      </w:r>
    </w:p>
  </w:footnote>
  <w:footnote w:type="continuationSeparator" w:id="0">
    <w:p w:rsidR="00BB2189" w:rsidRDefault="00BB2189" w:rsidP="00FF04C3">
      <w:pPr>
        <w:spacing w:line="240" w:lineRule="auto"/>
      </w:pPr>
      <w:r>
        <w:continuationSeparator/>
      </w:r>
    </w:p>
  </w:footnote>
  <w:footnote w:id="1">
    <w:p w:rsidR="00637BE6" w:rsidRPr="00EB6B1D" w:rsidRDefault="00637BE6" w:rsidP="00EC3920">
      <w:pPr>
        <w:pStyle w:val="Geenafstand"/>
        <w:rPr>
          <w:rFonts w:ascii="Verdana" w:hAnsi="Verdana"/>
          <w:sz w:val="16"/>
          <w:szCs w:val="16"/>
        </w:rPr>
      </w:pPr>
      <w:r>
        <w:rPr>
          <w:rStyle w:val="Voetnootmarkering"/>
        </w:rPr>
        <w:footnoteRef/>
      </w:r>
      <w:r>
        <w:t xml:space="preserve"> </w:t>
      </w:r>
      <w:r w:rsidRPr="00EC3920">
        <w:rPr>
          <w:rFonts w:ascii="Verdana" w:hAnsi="Verdana"/>
          <w:sz w:val="16"/>
          <w:szCs w:val="16"/>
        </w:rPr>
        <w:t>Op 3 mei 2010</w:t>
      </w:r>
      <w:r w:rsidRPr="00EB6B1D">
        <w:rPr>
          <w:rFonts w:ascii="Verdana" w:hAnsi="Verdana"/>
          <w:sz w:val="16"/>
          <w:szCs w:val="16"/>
        </w:rPr>
        <w:t xml:space="preserve"> </w:t>
      </w:r>
      <w:r>
        <w:rPr>
          <w:rFonts w:ascii="Verdana" w:hAnsi="Verdana"/>
          <w:sz w:val="16"/>
          <w:szCs w:val="16"/>
        </w:rPr>
        <w:t xml:space="preserve">schrijft </w:t>
      </w:r>
      <w:r w:rsidRPr="00EB6B1D">
        <w:rPr>
          <w:rFonts w:ascii="Verdana" w:hAnsi="Verdana"/>
          <w:sz w:val="16"/>
          <w:szCs w:val="16"/>
        </w:rPr>
        <w:t xml:space="preserve">het ministerie van VWS aan de </w:t>
      </w:r>
      <w:proofErr w:type="spellStart"/>
      <w:r w:rsidRPr="00EB6B1D">
        <w:rPr>
          <w:rFonts w:ascii="Verdana" w:hAnsi="Verdana"/>
          <w:sz w:val="16"/>
          <w:szCs w:val="16"/>
        </w:rPr>
        <w:t>NZa</w:t>
      </w:r>
      <w:proofErr w:type="spellEnd"/>
      <w:r w:rsidRPr="00EB6B1D">
        <w:rPr>
          <w:rFonts w:ascii="Verdana" w:hAnsi="Verdana"/>
          <w:sz w:val="16"/>
          <w:szCs w:val="16"/>
        </w:rPr>
        <w:t xml:space="preserve"> </w:t>
      </w:r>
      <w:r>
        <w:rPr>
          <w:rFonts w:ascii="Verdana" w:hAnsi="Verdana"/>
          <w:sz w:val="16"/>
          <w:szCs w:val="16"/>
        </w:rPr>
        <w:t xml:space="preserve">over besluitvorming </w:t>
      </w:r>
      <w:proofErr w:type="spellStart"/>
      <w:r>
        <w:rPr>
          <w:rFonts w:ascii="Verdana" w:hAnsi="Verdana"/>
          <w:sz w:val="16"/>
          <w:szCs w:val="16"/>
        </w:rPr>
        <w:t>ZZP-onderhoud</w:t>
      </w:r>
      <w:proofErr w:type="spellEnd"/>
      <w:r>
        <w:rPr>
          <w:rFonts w:ascii="Verdana" w:hAnsi="Verdana"/>
          <w:sz w:val="16"/>
          <w:szCs w:val="16"/>
        </w:rPr>
        <w:t xml:space="preserve">: </w:t>
      </w:r>
    </w:p>
    <w:p w:rsidR="00637BE6" w:rsidRDefault="00637BE6" w:rsidP="00EC3920">
      <w:pPr>
        <w:pStyle w:val="Geenafstand"/>
        <w:rPr>
          <w:rFonts w:ascii="Verdana" w:hAnsi="Verdana"/>
          <w:sz w:val="16"/>
          <w:szCs w:val="16"/>
        </w:rPr>
      </w:pPr>
      <w:r w:rsidRPr="00EB6B1D">
        <w:rPr>
          <w:rFonts w:ascii="Verdana" w:hAnsi="Verdana"/>
          <w:sz w:val="16"/>
          <w:szCs w:val="16"/>
        </w:rPr>
        <w:t>Cliënten met een ZZP LG 1 en</w:t>
      </w:r>
      <w:r>
        <w:rPr>
          <w:rFonts w:ascii="Verdana" w:hAnsi="Verdana"/>
          <w:sz w:val="16"/>
          <w:szCs w:val="16"/>
        </w:rPr>
        <w:t xml:space="preserve"> </w:t>
      </w:r>
      <w:r w:rsidRPr="00EB6B1D">
        <w:rPr>
          <w:rFonts w:ascii="Verdana" w:hAnsi="Verdana"/>
          <w:sz w:val="16"/>
          <w:szCs w:val="16"/>
        </w:rPr>
        <w:t xml:space="preserve">2, VG 1 en 2, ZG visueel 1 en 2 die verblijven in een instelling die volgens de Wet toelating zorginstellingen is toegelaten voor de AWBZ functies Verblijf en Behandeling hebben </w:t>
      </w:r>
      <w:r w:rsidRPr="00EB6B1D">
        <w:rPr>
          <w:rFonts w:ascii="Verdana" w:hAnsi="Verdana"/>
          <w:sz w:val="16"/>
          <w:szCs w:val="16"/>
          <w:u w:val="single"/>
        </w:rPr>
        <w:t>geen</w:t>
      </w:r>
      <w:r w:rsidRPr="00EB6B1D">
        <w:rPr>
          <w:rFonts w:ascii="Verdana" w:hAnsi="Verdana"/>
          <w:sz w:val="16"/>
          <w:szCs w:val="16"/>
        </w:rPr>
        <w:t xml:space="preserve"> recht op artikel 8 Behandeling </w:t>
      </w:r>
      <w:r w:rsidRPr="00EB6B1D">
        <w:rPr>
          <w:rFonts w:ascii="Verdana" w:hAnsi="Verdana"/>
          <w:sz w:val="16"/>
          <w:szCs w:val="16"/>
          <w:u w:val="single"/>
        </w:rPr>
        <w:t>en</w:t>
      </w:r>
      <w:r w:rsidRPr="00EB6B1D">
        <w:rPr>
          <w:rFonts w:ascii="Verdana" w:hAnsi="Verdana"/>
          <w:sz w:val="16"/>
          <w:szCs w:val="16"/>
        </w:rPr>
        <w:t xml:space="preserve"> dientengevolge ook </w:t>
      </w:r>
      <w:r w:rsidRPr="00EB6B1D">
        <w:rPr>
          <w:rFonts w:ascii="Verdana" w:hAnsi="Verdana"/>
          <w:sz w:val="16"/>
          <w:szCs w:val="16"/>
          <w:u w:val="single"/>
        </w:rPr>
        <w:t>geen</w:t>
      </w:r>
      <w:r w:rsidRPr="00EB6B1D">
        <w:rPr>
          <w:rFonts w:ascii="Verdana" w:hAnsi="Verdana"/>
          <w:sz w:val="16"/>
          <w:szCs w:val="16"/>
        </w:rPr>
        <w:t xml:space="preserve"> recht op de daaraan gekoppelde ‘aanvullende zorg’ ex artikel 15 van het </w:t>
      </w:r>
      <w:proofErr w:type="spellStart"/>
      <w:r w:rsidRPr="00EB6B1D">
        <w:rPr>
          <w:rFonts w:ascii="Verdana" w:hAnsi="Verdana"/>
          <w:sz w:val="16"/>
          <w:szCs w:val="16"/>
        </w:rPr>
        <w:t>BZa</w:t>
      </w:r>
      <w:proofErr w:type="spellEnd"/>
      <w:r w:rsidRPr="00EB6B1D">
        <w:rPr>
          <w:rFonts w:ascii="Verdana" w:hAnsi="Verdana"/>
          <w:sz w:val="16"/>
          <w:szCs w:val="16"/>
        </w:rPr>
        <w:t xml:space="preserve">. Deze kosten kunnen door instellingen </w:t>
      </w:r>
      <w:r w:rsidRPr="00EB6B1D">
        <w:rPr>
          <w:rFonts w:ascii="Verdana" w:hAnsi="Verdana"/>
          <w:sz w:val="16"/>
          <w:szCs w:val="16"/>
          <w:u w:val="single"/>
        </w:rPr>
        <w:t>niet</w:t>
      </w:r>
      <w:r w:rsidRPr="00EB6B1D">
        <w:rPr>
          <w:rFonts w:ascii="Verdana" w:hAnsi="Verdana"/>
          <w:sz w:val="16"/>
          <w:szCs w:val="16"/>
        </w:rPr>
        <w:t xml:space="preserve"> gedeclareerd worden </w:t>
      </w:r>
      <w:r w:rsidRPr="00EB6B1D">
        <w:rPr>
          <w:rFonts w:ascii="Verdana" w:hAnsi="Verdana"/>
          <w:sz w:val="16"/>
          <w:szCs w:val="16"/>
          <w:u w:val="single"/>
        </w:rPr>
        <w:t>ten laste</w:t>
      </w:r>
      <w:r w:rsidRPr="00EB6B1D">
        <w:rPr>
          <w:rFonts w:ascii="Verdana" w:hAnsi="Verdana"/>
          <w:sz w:val="16"/>
          <w:szCs w:val="16"/>
        </w:rPr>
        <w:t xml:space="preserve"> van de </w:t>
      </w:r>
      <w:r w:rsidRPr="00EB6B1D">
        <w:rPr>
          <w:rFonts w:ascii="Verdana" w:hAnsi="Verdana"/>
          <w:sz w:val="16"/>
          <w:szCs w:val="16"/>
          <w:u w:val="single"/>
        </w:rPr>
        <w:t>AWBZ</w:t>
      </w:r>
      <w:r w:rsidRPr="00EB6B1D">
        <w:rPr>
          <w:rFonts w:ascii="Verdana" w:hAnsi="Verdana"/>
          <w:sz w:val="16"/>
          <w:szCs w:val="16"/>
        </w:rPr>
        <w:t>.</w:t>
      </w:r>
    </w:p>
    <w:p w:rsidR="00637BE6" w:rsidRPr="00EB6B1D" w:rsidRDefault="00637BE6" w:rsidP="00EC3920">
      <w:pPr>
        <w:pStyle w:val="Geenafstand"/>
        <w:rPr>
          <w:rFonts w:ascii="Verdana" w:hAnsi="Verdana"/>
          <w:i/>
          <w:sz w:val="20"/>
          <w:szCs w:val="20"/>
        </w:rPr>
      </w:pPr>
      <w:r>
        <w:rPr>
          <w:rFonts w:ascii="Verdana" w:hAnsi="Verdana"/>
          <w:sz w:val="16"/>
          <w:szCs w:val="16"/>
        </w:rPr>
        <w:t>Toelichting VGN: met deze besluitvorming wijkt VWS af van het tot dan gevoerde beleid als omschreven in de brief van 29 april 2008 aan de Tweede Kamer</w:t>
      </w:r>
      <w:r w:rsidRPr="00EB6B1D">
        <w:rPr>
          <w:rFonts w:ascii="Verdana" w:hAnsi="Verdana"/>
          <w:i/>
          <w:sz w:val="20"/>
          <w:szCs w:val="20"/>
        </w:rPr>
        <w:t xml:space="preserve"> </w:t>
      </w:r>
    </w:p>
    <w:p w:rsidR="00637BE6" w:rsidRDefault="00637BE6" w:rsidP="00EC3920">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E6" w:rsidRDefault="00FC3564">
    <w:pPr>
      <w:pStyle w:val="Koptekst"/>
    </w:pPr>
    <w:r>
      <w:rPr>
        <w:noProof/>
      </w:rPr>
      <w:drawing>
        <wp:anchor distT="0" distB="0" distL="114300" distR="114300" simplePos="0" relativeHeight="251657728" behindDoc="1" locked="0" layoutInCell="1" allowOverlap="1">
          <wp:simplePos x="0" y="0"/>
          <wp:positionH relativeFrom="page">
            <wp:posOffset>3948430</wp:posOffset>
          </wp:positionH>
          <wp:positionV relativeFrom="page">
            <wp:posOffset>328930</wp:posOffset>
          </wp:positionV>
          <wp:extent cx="2580005" cy="1077595"/>
          <wp:effectExtent l="19050" t="0" r="0" b="0"/>
          <wp:wrapNone/>
          <wp:docPr id="1" name="Afbeelding 9" descr="VGN_logo_OutlineZWART_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VGN_logo_OutlineZWART_7n"/>
                  <pic:cNvPicPr>
                    <a:picLocks noChangeAspect="1" noChangeArrowheads="1"/>
                  </pic:cNvPicPr>
                </pic:nvPicPr>
                <pic:blipFill>
                  <a:blip r:embed="rId1"/>
                  <a:srcRect/>
                  <a:stretch>
                    <a:fillRect/>
                  </a:stretch>
                </pic:blipFill>
                <pic:spPr bwMode="auto">
                  <a:xfrm>
                    <a:off x="0" y="0"/>
                    <a:ext cx="2580005" cy="1077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5F0F"/>
    <w:multiLevelType w:val="hybridMultilevel"/>
    <w:tmpl w:val="EA382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D55206"/>
    <w:multiLevelType w:val="hybridMultilevel"/>
    <w:tmpl w:val="95B24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003F4D"/>
    <w:multiLevelType w:val="hybridMultilevel"/>
    <w:tmpl w:val="FD344F6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2DA77B5"/>
    <w:multiLevelType w:val="multilevel"/>
    <w:tmpl w:val="FEE89F98"/>
    <w:lvl w:ilvl="0">
      <w:start w:val="1"/>
      <w:numFmt w:val="decimal"/>
      <w:pStyle w:val="Kop1"/>
      <w:lvlText w:val="%1."/>
      <w:lvlJc w:val="left"/>
      <w:pPr>
        <w:tabs>
          <w:tab w:val="num" w:pos="432"/>
        </w:tabs>
        <w:ind w:left="432" w:hanging="432"/>
      </w:pPr>
      <w:rPr>
        <w:rFonts w:hint="default"/>
      </w:rPr>
    </w:lvl>
    <w:lvl w:ilvl="1">
      <w:start w:val="1"/>
      <w:numFmt w:val="lowerLetter"/>
      <w:pStyle w:val="Kop2"/>
      <w:lvlText w:val="%2"/>
      <w:lvlJc w:val="left"/>
      <w:pPr>
        <w:tabs>
          <w:tab w:val="num" w:pos="862"/>
        </w:tabs>
        <w:ind w:left="862" w:hanging="431"/>
      </w:pPr>
      <w:rPr>
        <w:rFonts w:hint="default"/>
      </w:rPr>
    </w:lvl>
    <w:lvl w:ilvl="2">
      <w:start w:val="1"/>
      <w:numFmt w:val="bullet"/>
      <w:pStyle w:val="Kop3"/>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707164A"/>
    <w:multiLevelType w:val="multilevel"/>
    <w:tmpl w:val="BB12259E"/>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1C2643"/>
    <w:multiLevelType w:val="hybridMultilevel"/>
    <w:tmpl w:val="DD386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3873BC2"/>
    <w:multiLevelType w:val="multilevel"/>
    <w:tmpl w:val="339653A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38852A9"/>
    <w:multiLevelType w:val="hybridMultilevel"/>
    <w:tmpl w:val="9B1E7C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56C4BD6"/>
    <w:multiLevelType w:val="hybridMultilevel"/>
    <w:tmpl w:val="3AECC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A140AAE"/>
    <w:multiLevelType w:val="hybridMultilevel"/>
    <w:tmpl w:val="CB32E022"/>
    <w:lvl w:ilvl="0" w:tplc="62B67D6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6796E19"/>
    <w:multiLevelType w:val="hybridMultilevel"/>
    <w:tmpl w:val="0E38E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CA07903"/>
    <w:multiLevelType w:val="multilevel"/>
    <w:tmpl w:val="E208FC7E"/>
    <w:lvl w:ilvl="0">
      <w:start w:val="1"/>
      <w:numFmt w:val="bullet"/>
      <w:lvlText w:val="-"/>
      <w:lvlJc w:val="left"/>
      <w:pPr>
        <w:tabs>
          <w:tab w:val="num" w:pos="1151"/>
        </w:tabs>
        <w:ind w:left="1151"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FB15B8"/>
    <w:multiLevelType w:val="hybridMultilevel"/>
    <w:tmpl w:val="BB12259E"/>
    <w:lvl w:ilvl="0" w:tplc="FAF090BA">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25C524D"/>
    <w:multiLevelType w:val="multilevel"/>
    <w:tmpl w:val="591E68A6"/>
    <w:lvl w:ilvl="0">
      <w:start w:val="1"/>
      <w:numFmt w:val="decimal"/>
      <w:lvlText w:val="%1"/>
      <w:lvlJc w:val="right"/>
      <w:pPr>
        <w:tabs>
          <w:tab w:val="num" w:pos="227"/>
        </w:tabs>
        <w:ind w:left="227" w:hanging="227"/>
      </w:pPr>
    </w:lvl>
    <w:lvl w:ilvl="1">
      <w:start w:val="1"/>
      <w:numFmt w:val="lowerLetter"/>
      <w:lvlText w:val="%2"/>
      <w:lvlJc w:val="right"/>
      <w:pPr>
        <w:tabs>
          <w:tab w:val="num" w:pos="227"/>
        </w:tabs>
        <w:ind w:left="227" w:hanging="227"/>
      </w:pPr>
    </w:lvl>
    <w:lvl w:ilvl="2">
      <w:start w:val="1"/>
      <w:numFmt w:val="bullet"/>
      <w:suff w:val="space"/>
      <w:lvlText w:val=""/>
      <w:lvlJc w:val="left"/>
      <w:pPr>
        <w:ind w:left="227" w:firstLine="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60"/>
        </w:tabs>
        <w:ind w:left="227" w:hanging="227"/>
      </w:pPr>
    </w:lvl>
  </w:abstractNum>
  <w:abstractNum w:abstractNumId="14">
    <w:nsid w:val="53E37D7D"/>
    <w:multiLevelType w:val="hybridMultilevel"/>
    <w:tmpl w:val="0F28D0E0"/>
    <w:lvl w:ilvl="0" w:tplc="B78E66C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C223C49"/>
    <w:multiLevelType w:val="hybridMultilevel"/>
    <w:tmpl w:val="EFD44DF2"/>
    <w:lvl w:ilvl="0" w:tplc="5B705E3E">
      <w:start w:val="1"/>
      <w:numFmt w:val="bullet"/>
      <w:pStyle w:val="Puntje"/>
      <w:lvlText w:val="-"/>
      <w:lvlJc w:val="left"/>
      <w:pPr>
        <w:tabs>
          <w:tab w:val="num" w:pos="431"/>
        </w:tabs>
        <w:ind w:left="862" w:hanging="431"/>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61803B88"/>
    <w:multiLevelType w:val="hybridMultilevel"/>
    <w:tmpl w:val="CEC60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8CB0F8E"/>
    <w:multiLevelType w:val="hybridMultilevel"/>
    <w:tmpl w:val="0826F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8D046F2"/>
    <w:multiLevelType w:val="hybridMultilevel"/>
    <w:tmpl w:val="A13ADD92"/>
    <w:lvl w:ilvl="0" w:tplc="2808172C">
      <w:start w:val="1"/>
      <w:numFmt w:val="bullet"/>
      <w:lvlText w:val=""/>
      <w:lvlJc w:val="left"/>
      <w:pPr>
        <w:tabs>
          <w:tab w:val="num" w:pos="340"/>
        </w:tabs>
        <w:ind w:left="340" w:hanging="340"/>
      </w:pPr>
      <w:rPr>
        <w:rFonts w:ascii="Wingdings" w:hAnsi="Wingdings" w:hint="default"/>
      </w:rPr>
    </w:lvl>
    <w:lvl w:ilvl="1" w:tplc="8D403E24">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A265B2"/>
    <w:multiLevelType w:val="hybridMultilevel"/>
    <w:tmpl w:val="787A7B22"/>
    <w:lvl w:ilvl="0" w:tplc="FAF090BA">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BA587C"/>
    <w:multiLevelType w:val="multilevel"/>
    <w:tmpl w:val="BB12259E"/>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6"/>
  </w:num>
  <w:num w:numId="5">
    <w:abstractNumId w:val="13"/>
  </w:num>
  <w:num w:numId="6">
    <w:abstractNumId w:val="13"/>
  </w:num>
  <w:num w:numId="7">
    <w:abstractNumId w:val="13"/>
  </w:num>
  <w:num w:numId="8">
    <w:abstractNumId w:val="3"/>
  </w:num>
  <w:num w:numId="9">
    <w:abstractNumId w:val="3"/>
  </w:num>
  <w:num w:numId="10">
    <w:abstractNumId w:val="3"/>
  </w:num>
  <w:num w:numId="11">
    <w:abstractNumId w:val="3"/>
  </w:num>
  <w:num w:numId="12">
    <w:abstractNumId w:val="15"/>
  </w:num>
  <w:num w:numId="13">
    <w:abstractNumId w:val="11"/>
  </w:num>
  <w:num w:numId="14">
    <w:abstractNumId w:val="12"/>
  </w:num>
  <w:num w:numId="15">
    <w:abstractNumId w:val="2"/>
  </w:num>
  <w:num w:numId="16">
    <w:abstractNumId w:val="19"/>
  </w:num>
  <w:num w:numId="17">
    <w:abstractNumId w:val="18"/>
  </w:num>
  <w:num w:numId="18">
    <w:abstractNumId w:val="20"/>
  </w:num>
  <w:num w:numId="19">
    <w:abstractNumId w:val="4"/>
  </w:num>
  <w:num w:numId="20">
    <w:abstractNumId w:val="8"/>
  </w:num>
  <w:num w:numId="21">
    <w:abstractNumId w:val="5"/>
  </w:num>
  <w:num w:numId="22">
    <w:abstractNumId w:val="16"/>
  </w:num>
  <w:num w:numId="23">
    <w:abstractNumId w:val="7"/>
  </w:num>
  <w:num w:numId="24">
    <w:abstractNumId w:val="10"/>
  </w:num>
  <w:num w:numId="25">
    <w:abstractNumId w:val="17"/>
  </w:num>
  <w:num w:numId="26">
    <w:abstractNumId w:val="1"/>
  </w:num>
  <w:num w:numId="27">
    <w:abstractNumId w:val="0"/>
  </w:num>
  <w:num w:numId="28">
    <w:abstractNumId w:val="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001"/>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59393"/>
  </w:hdrShapeDefaults>
  <w:footnotePr>
    <w:footnote w:id="-1"/>
    <w:footnote w:id="0"/>
  </w:footnotePr>
  <w:endnotePr>
    <w:endnote w:id="-1"/>
    <w:endnote w:id="0"/>
  </w:endnotePr>
  <w:compat/>
  <w:rsids>
    <w:rsidRoot w:val="008B306E"/>
    <w:rsid w:val="00006A3E"/>
    <w:rsid w:val="00012892"/>
    <w:rsid w:val="00033B5A"/>
    <w:rsid w:val="00042164"/>
    <w:rsid w:val="00042413"/>
    <w:rsid w:val="00046473"/>
    <w:rsid w:val="00067482"/>
    <w:rsid w:val="0007069E"/>
    <w:rsid w:val="000862D7"/>
    <w:rsid w:val="00090AA3"/>
    <w:rsid w:val="00095266"/>
    <w:rsid w:val="000A10CC"/>
    <w:rsid w:val="000C4B22"/>
    <w:rsid w:val="000D0787"/>
    <w:rsid w:val="000E3340"/>
    <w:rsid w:val="000E6FF4"/>
    <w:rsid w:val="000F2527"/>
    <w:rsid w:val="000F3732"/>
    <w:rsid w:val="000F6EDF"/>
    <w:rsid w:val="0012326D"/>
    <w:rsid w:val="00126E0E"/>
    <w:rsid w:val="001276CD"/>
    <w:rsid w:val="00135E27"/>
    <w:rsid w:val="00141171"/>
    <w:rsid w:val="00144742"/>
    <w:rsid w:val="001632CD"/>
    <w:rsid w:val="00167E63"/>
    <w:rsid w:val="001769D0"/>
    <w:rsid w:val="001D141F"/>
    <w:rsid w:val="001D613B"/>
    <w:rsid w:val="001F103D"/>
    <w:rsid w:val="001F1363"/>
    <w:rsid w:val="001F3E09"/>
    <w:rsid w:val="0020315F"/>
    <w:rsid w:val="00216A50"/>
    <w:rsid w:val="00231CE3"/>
    <w:rsid w:val="0023452A"/>
    <w:rsid w:val="00236306"/>
    <w:rsid w:val="002448A1"/>
    <w:rsid w:val="00246285"/>
    <w:rsid w:val="0025784C"/>
    <w:rsid w:val="00265705"/>
    <w:rsid w:val="00267695"/>
    <w:rsid w:val="00280527"/>
    <w:rsid w:val="00290A83"/>
    <w:rsid w:val="00293740"/>
    <w:rsid w:val="00297C33"/>
    <w:rsid w:val="002C441A"/>
    <w:rsid w:val="002D2CA2"/>
    <w:rsid w:val="002E440B"/>
    <w:rsid w:val="002E511E"/>
    <w:rsid w:val="002F0A69"/>
    <w:rsid w:val="00303F09"/>
    <w:rsid w:val="003104AD"/>
    <w:rsid w:val="00333A40"/>
    <w:rsid w:val="00337277"/>
    <w:rsid w:val="00341A6C"/>
    <w:rsid w:val="003420F4"/>
    <w:rsid w:val="00347CE8"/>
    <w:rsid w:val="00350C99"/>
    <w:rsid w:val="00357AD9"/>
    <w:rsid w:val="003731FE"/>
    <w:rsid w:val="003757F3"/>
    <w:rsid w:val="003976F4"/>
    <w:rsid w:val="003A2BE3"/>
    <w:rsid w:val="003A4154"/>
    <w:rsid w:val="003A4865"/>
    <w:rsid w:val="003B36D6"/>
    <w:rsid w:val="003B64F0"/>
    <w:rsid w:val="003C3C4E"/>
    <w:rsid w:val="003C5135"/>
    <w:rsid w:val="003C5251"/>
    <w:rsid w:val="003C6F4A"/>
    <w:rsid w:val="003D261E"/>
    <w:rsid w:val="003E4C96"/>
    <w:rsid w:val="003E7E21"/>
    <w:rsid w:val="00412611"/>
    <w:rsid w:val="00413E04"/>
    <w:rsid w:val="00431B93"/>
    <w:rsid w:val="004469C8"/>
    <w:rsid w:val="00450A10"/>
    <w:rsid w:val="00451188"/>
    <w:rsid w:val="00451928"/>
    <w:rsid w:val="00462F2A"/>
    <w:rsid w:val="00462FA9"/>
    <w:rsid w:val="004737F1"/>
    <w:rsid w:val="004760C8"/>
    <w:rsid w:val="00477786"/>
    <w:rsid w:val="004A1090"/>
    <w:rsid w:val="004A36BA"/>
    <w:rsid w:val="004D0C13"/>
    <w:rsid w:val="004D1134"/>
    <w:rsid w:val="004E2C1C"/>
    <w:rsid w:val="004E53D1"/>
    <w:rsid w:val="004F375F"/>
    <w:rsid w:val="004F5853"/>
    <w:rsid w:val="004F6F22"/>
    <w:rsid w:val="0050025C"/>
    <w:rsid w:val="00506353"/>
    <w:rsid w:val="005118AB"/>
    <w:rsid w:val="00517246"/>
    <w:rsid w:val="00517F17"/>
    <w:rsid w:val="00523462"/>
    <w:rsid w:val="00572AD3"/>
    <w:rsid w:val="00573251"/>
    <w:rsid w:val="005754E0"/>
    <w:rsid w:val="00591D59"/>
    <w:rsid w:val="005A3FF0"/>
    <w:rsid w:val="005B7279"/>
    <w:rsid w:val="005C3F84"/>
    <w:rsid w:val="005E6251"/>
    <w:rsid w:val="005F0C1F"/>
    <w:rsid w:val="005F64F0"/>
    <w:rsid w:val="005F6802"/>
    <w:rsid w:val="005F7EC1"/>
    <w:rsid w:val="00601DEF"/>
    <w:rsid w:val="00615BEF"/>
    <w:rsid w:val="00624BE7"/>
    <w:rsid w:val="00627F66"/>
    <w:rsid w:val="00637BE6"/>
    <w:rsid w:val="00652F56"/>
    <w:rsid w:val="0065310D"/>
    <w:rsid w:val="0068151B"/>
    <w:rsid w:val="006816E0"/>
    <w:rsid w:val="00691F79"/>
    <w:rsid w:val="0069262C"/>
    <w:rsid w:val="006A4CC5"/>
    <w:rsid w:val="006B69DF"/>
    <w:rsid w:val="006C2D2F"/>
    <w:rsid w:val="006D49E4"/>
    <w:rsid w:val="006D5BFF"/>
    <w:rsid w:val="006F3397"/>
    <w:rsid w:val="006F4534"/>
    <w:rsid w:val="006F6DAC"/>
    <w:rsid w:val="0072166D"/>
    <w:rsid w:val="007345D6"/>
    <w:rsid w:val="007429E2"/>
    <w:rsid w:val="0076097D"/>
    <w:rsid w:val="00765DBF"/>
    <w:rsid w:val="00773FEC"/>
    <w:rsid w:val="00780260"/>
    <w:rsid w:val="00794059"/>
    <w:rsid w:val="00795F01"/>
    <w:rsid w:val="00796ECC"/>
    <w:rsid w:val="007A6574"/>
    <w:rsid w:val="007B7BFC"/>
    <w:rsid w:val="007C1709"/>
    <w:rsid w:val="007C6D69"/>
    <w:rsid w:val="008018D6"/>
    <w:rsid w:val="00801E4A"/>
    <w:rsid w:val="00817758"/>
    <w:rsid w:val="00826F9B"/>
    <w:rsid w:val="00827127"/>
    <w:rsid w:val="00861D35"/>
    <w:rsid w:val="00864F77"/>
    <w:rsid w:val="0087040C"/>
    <w:rsid w:val="00881E2B"/>
    <w:rsid w:val="008872DD"/>
    <w:rsid w:val="008A247E"/>
    <w:rsid w:val="008A3D16"/>
    <w:rsid w:val="008B306E"/>
    <w:rsid w:val="008D1779"/>
    <w:rsid w:val="008D2DAF"/>
    <w:rsid w:val="008E335B"/>
    <w:rsid w:val="008E731A"/>
    <w:rsid w:val="008E7EA4"/>
    <w:rsid w:val="008F26B8"/>
    <w:rsid w:val="008F413E"/>
    <w:rsid w:val="009045F8"/>
    <w:rsid w:val="0093520F"/>
    <w:rsid w:val="0093544B"/>
    <w:rsid w:val="00943430"/>
    <w:rsid w:val="009455AF"/>
    <w:rsid w:val="009464A9"/>
    <w:rsid w:val="00950A48"/>
    <w:rsid w:val="00950DC3"/>
    <w:rsid w:val="00957609"/>
    <w:rsid w:val="00960CBC"/>
    <w:rsid w:val="0096785F"/>
    <w:rsid w:val="00980C28"/>
    <w:rsid w:val="00990E26"/>
    <w:rsid w:val="0099223B"/>
    <w:rsid w:val="009A06A8"/>
    <w:rsid w:val="009B1EA1"/>
    <w:rsid w:val="009C68F3"/>
    <w:rsid w:val="009C788B"/>
    <w:rsid w:val="009D4F04"/>
    <w:rsid w:val="009E7E1E"/>
    <w:rsid w:val="009F3AC1"/>
    <w:rsid w:val="009F5D51"/>
    <w:rsid w:val="00A0319C"/>
    <w:rsid w:val="00A2081F"/>
    <w:rsid w:val="00A27B92"/>
    <w:rsid w:val="00A51214"/>
    <w:rsid w:val="00A539DF"/>
    <w:rsid w:val="00A746CC"/>
    <w:rsid w:val="00A909E8"/>
    <w:rsid w:val="00A915C7"/>
    <w:rsid w:val="00A95234"/>
    <w:rsid w:val="00AA6907"/>
    <w:rsid w:val="00AB396B"/>
    <w:rsid w:val="00AC1666"/>
    <w:rsid w:val="00AD0B37"/>
    <w:rsid w:val="00AD2EFD"/>
    <w:rsid w:val="00AE2B35"/>
    <w:rsid w:val="00AE6AE1"/>
    <w:rsid w:val="00B1688D"/>
    <w:rsid w:val="00B17C07"/>
    <w:rsid w:val="00B2029F"/>
    <w:rsid w:val="00B22EA0"/>
    <w:rsid w:val="00B30F7E"/>
    <w:rsid w:val="00B3273A"/>
    <w:rsid w:val="00B4281E"/>
    <w:rsid w:val="00B4432A"/>
    <w:rsid w:val="00B57BC2"/>
    <w:rsid w:val="00B81B73"/>
    <w:rsid w:val="00B82776"/>
    <w:rsid w:val="00B87994"/>
    <w:rsid w:val="00BA3334"/>
    <w:rsid w:val="00BA395B"/>
    <w:rsid w:val="00BB2189"/>
    <w:rsid w:val="00BB2273"/>
    <w:rsid w:val="00BB59EB"/>
    <w:rsid w:val="00BC668E"/>
    <w:rsid w:val="00BC7F71"/>
    <w:rsid w:val="00BF71AE"/>
    <w:rsid w:val="00C06217"/>
    <w:rsid w:val="00C11608"/>
    <w:rsid w:val="00C12A0A"/>
    <w:rsid w:val="00C14286"/>
    <w:rsid w:val="00C234F7"/>
    <w:rsid w:val="00C27B97"/>
    <w:rsid w:val="00C3049E"/>
    <w:rsid w:val="00C414E9"/>
    <w:rsid w:val="00C46F08"/>
    <w:rsid w:val="00C52113"/>
    <w:rsid w:val="00C56E38"/>
    <w:rsid w:val="00C601E3"/>
    <w:rsid w:val="00C710D5"/>
    <w:rsid w:val="00C86281"/>
    <w:rsid w:val="00CA29FA"/>
    <w:rsid w:val="00CB5358"/>
    <w:rsid w:val="00CC0160"/>
    <w:rsid w:val="00CE07B8"/>
    <w:rsid w:val="00CE42FC"/>
    <w:rsid w:val="00CF2974"/>
    <w:rsid w:val="00D006D3"/>
    <w:rsid w:val="00D06F6A"/>
    <w:rsid w:val="00D24E3F"/>
    <w:rsid w:val="00D30CF6"/>
    <w:rsid w:val="00D51F40"/>
    <w:rsid w:val="00D61AEB"/>
    <w:rsid w:val="00D63425"/>
    <w:rsid w:val="00D73758"/>
    <w:rsid w:val="00D81A20"/>
    <w:rsid w:val="00D83586"/>
    <w:rsid w:val="00D83A78"/>
    <w:rsid w:val="00D913B4"/>
    <w:rsid w:val="00DA26A6"/>
    <w:rsid w:val="00DB4E38"/>
    <w:rsid w:val="00DB4FE0"/>
    <w:rsid w:val="00DB6282"/>
    <w:rsid w:val="00DC610C"/>
    <w:rsid w:val="00DC6C3E"/>
    <w:rsid w:val="00DD0C31"/>
    <w:rsid w:val="00DD4DFE"/>
    <w:rsid w:val="00DD551E"/>
    <w:rsid w:val="00DE23AD"/>
    <w:rsid w:val="00DE2E13"/>
    <w:rsid w:val="00DE7867"/>
    <w:rsid w:val="00E03D79"/>
    <w:rsid w:val="00E1536A"/>
    <w:rsid w:val="00E266FE"/>
    <w:rsid w:val="00E46061"/>
    <w:rsid w:val="00E5070C"/>
    <w:rsid w:val="00E55947"/>
    <w:rsid w:val="00E57D1F"/>
    <w:rsid w:val="00E63582"/>
    <w:rsid w:val="00E668D6"/>
    <w:rsid w:val="00E672C6"/>
    <w:rsid w:val="00E7016E"/>
    <w:rsid w:val="00E71642"/>
    <w:rsid w:val="00E81405"/>
    <w:rsid w:val="00E84084"/>
    <w:rsid w:val="00E91C04"/>
    <w:rsid w:val="00EA043C"/>
    <w:rsid w:val="00EA093F"/>
    <w:rsid w:val="00EA211E"/>
    <w:rsid w:val="00EA5DAF"/>
    <w:rsid w:val="00EB2D78"/>
    <w:rsid w:val="00EB6B1D"/>
    <w:rsid w:val="00EC3920"/>
    <w:rsid w:val="00EC4535"/>
    <w:rsid w:val="00ED6A7D"/>
    <w:rsid w:val="00EF6424"/>
    <w:rsid w:val="00F0304E"/>
    <w:rsid w:val="00F04176"/>
    <w:rsid w:val="00F04656"/>
    <w:rsid w:val="00F10C75"/>
    <w:rsid w:val="00F11364"/>
    <w:rsid w:val="00F31965"/>
    <w:rsid w:val="00F324A9"/>
    <w:rsid w:val="00F45B39"/>
    <w:rsid w:val="00F60075"/>
    <w:rsid w:val="00F6008F"/>
    <w:rsid w:val="00F84BF0"/>
    <w:rsid w:val="00F9279D"/>
    <w:rsid w:val="00F92AA6"/>
    <w:rsid w:val="00F94DF3"/>
    <w:rsid w:val="00FC01C8"/>
    <w:rsid w:val="00FC1603"/>
    <w:rsid w:val="00FC3564"/>
    <w:rsid w:val="00FC3E02"/>
    <w:rsid w:val="00FD7964"/>
    <w:rsid w:val="00FD7DD0"/>
    <w:rsid w:val="00FE2F52"/>
    <w:rsid w:val="00FE452C"/>
    <w:rsid w:val="00FF04C3"/>
    <w:rsid w:val="00FF6B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69E"/>
    <w:pPr>
      <w:spacing w:line="280" w:lineRule="atLeast"/>
    </w:pPr>
    <w:rPr>
      <w:rFonts w:ascii="Verdana" w:hAnsi="Verdana"/>
    </w:rPr>
  </w:style>
  <w:style w:type="paragraph" w:styleId="Kop1">
    <w:name w:val="heading 1"/>
    <w:basedOn w:val="Standaard"/>
    <w:next w:val="StandaardInspring"/>
    <w:qFormat/>
    <w:rsid w:val="0007069E"/>
    <w:pPr>
      <w:keepNext/>
      <w:numPr>
        <w:numId w:val="11"/>
      </w:numPr>
      <w:tabs>
        <w:tab w:val="clear" w:pos="432"/>
        <w:tab w:val="left" w:pos="431"/>
        <w:tab w:val="left" w:pos="862"/>
        <w:tab w:val="left" w:pos="1293"/>
      </w:tabs>
      <w:spacing w:before="280" w:after="60"/>
      <w:ind w:left="431" w:hanging="431"/>
      <w:outlineLvl w:val="0"/>
    </w:pPr>
    <w:rPr>
      <w:b/>
    </w:rPr>
  </w:style>
  <w:style w:type="paragraph" w:styleId="Kop2">
    <w:name w:val="heading 2"/>
    <w:basedOn w:val="Standaard"/>
    <w:next w:val="StandaardInspring"/>
    <w:qFormat/>
    <w:rsid w:val="0007069E"/>
    <w:pPr>
      <w:keepNext/>
      <w:numPr>
        <w:ilvl w:val="1"/>
        <w:numId w:val="11"/>
      </w:numPr>
      <w:tabs>
        <w:tab w:val="left" w:pos="431"/>
        <w:tab w:val="left" w:pos="862"/>
        <w:tab w:val="left" w:pos="1293"/>
      </w:tabs>
      <w:spacing w:before="60" w:after="60"/>
      <w:ind w:left="431"/>
      <w:outlineLvl w:val="1"/>
    </w:pPr>
  </w:style>
  <w:style w:type="paragraph" w:styleId="Kop3">
    <w:name w:val="heading 3"/>
    <w:basedOn w:val="Standaard"/>
    <w:next w:val="StandaardInspring"/>
    <w:qFormat/>
    <w:rsid w:val="0007069E"/>
    <w:pPr>
      <w:keepNext/>
      <w:numPr>
        <w:ilvl w:val="2"/>
        <w:numId w:val="11"/>
      </w:numPr>
      <w:tabs>
        <w:tab w:val="left" w:pos="431"/>
        <w:tab w:val="left" w:pos="862"/>
        <w:tab w:val="left" w:pos="1293"/>
      </w:tabs>
      <w:spacing w:before="60"/>
      <w:ind w:left="431"/>
      <w:outlineLvl w:val="2"/>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8regel14Char">
    <w:name w:val="Standaard8regel14 Char"/>
    <w:basedOn w:val="Standaardalinea-lettertype"/>
    <w:link w:val="Standaard8regel14"/>
    <w:rsid w:val="0007069E"/>
    <w:rPr>
      <w:rFonts w:ascii="Verdana" w:hAnsi="Verdana" w:cs="Tahoma"/>
      <w:sz w:val="16"/>
      <w:lang w:val="nl-NL" w:eastAsia="nl-NL" w:bidi="ar-SA"/>
    </w:rPr>
  </w:style>
  <w:style w:type="paragraph" w:customStyle="1" w:styleId="Standaard8regel14">
    <w:name w:val="Standaard8regel14"/>
    <w:basedOn w:val="Standaard"/>
    <w:link w:val="Standaard8regel14Char"/>
    <w:rsid w:val="0007069E"/>
    <w:rPr>
      <w:rFonts w:cs="Tahoma"/>
      <w:sz w:val="16"/>
    </w:rPr>
  </w:style>
  <w:style w:type="paragraph" w:styleId="Koptekst">
    <w:name w:val="header"/>
    <w:basedOn w:val="Standaard"/>
    <w:rsid w:val="0007069E"/>
    <w:pPr>
      <w:tabs>
        <w:tab w:val="center" w:pos="4536"/>
        <w:tab w:val="right" w:pos="9072"/>
      </w:tabs>
    </w:pPr>
  </w:style>
  <w:style w:type="paragraph" w:styleId="Voettekst">
    <w:name w:val="footer"/>
    <w:basedOn w:val="Standaard"/>
    <w:rsid w:val="0007069E"/>
    <w:pPr>
      <w:tabs>
        <w:tab w:val="center" w:pos="4536"/>
        <w:tab w:val="right" w:pos="9072"/>
      </w:tabs>
    </w:pPr>
  </w:style>
  <w:style w:type="paragraph" w:customStyle="1" w:styleId="Standaard1">
    <w:name w:val="Standaard1"/>
    <w:basedOn w:val="Standaard"/>
    <w:rsid w:val="0007069E"/>
    <w:pPr>
      <w:spacing w:line="240" w:lineRule="auto"/>
    </w:pPr>
    <w:rPr>
      <w:color w:val="FFFFFF"/>
      <w:sz w:val="2"/>
    </w:rPr>
  </w:style>
  <w:style w:type="paragraph" w:customStyle="1" w:styleId="Documenttitel">
    <w:name w:val="Documenttitel"/>
    <w:basedOn w:val="Koptekst"/>
    <w:rsid w:val="0007069E"/>
    <w:rPr>
      <w:b/>
      <w:sz w:val="28"/>
    </w:rPr>
  </w:style>
  <w:style w:type="paragraph" w:styleId="Ballontekst">
    <w:name w:val="Balloon Text"/>
    <w:basedOn w:val="Standaard"/>
    <w:semiHidden/>
    <w:rsid w:val="0007069E"/>
    <w:rPr>
      <w:rFonts w:ascii="Tahoma" w:hAnsi="Tahoma"/>
      <w:sz w:val="16"/>
      <w:szCs w:val="16"/>
    </w:rPr>
  </w:style>
  <w:style w:type="paragraph" w:customStyle="1" w:styleId="Standaard8regel14TAV">
    <w:name w:val="Standaard8regel14TAV"/>
    <w:basedOn w:val="Standaard"/>
    <w:rsid w:val="0007069E"/>
    <w:pPr>
      <w:framePr w:w="4649" w:h="1418" w:hRule="exact" w:wrap="around" w:vAnchor="page" w:hAnchor="page" w:x="1419" w:y="3687"/>
      <w:spacing w:before="60" w:after="240"/>
    </w:pPr>
    <w:rPr>
      <w:sz w:val="16"/>
    </w:rPr>
  </w:style>
  <w:style w:type="table" w:styleId="Tabelraster">
    <w:name w:val="Table Grid"/>
    <w:basedOn w:val="Standaardtabel"/>
    <w:rsid w:val="0007069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jeInspringtekst">
    <w:name w:val="PuntjeInspringtekst"/>
    <w:basedOn w:val="Standaard"/>
    <w:rsid w:val="0007069E"/>
    <w:pPr>
      <w:ind w:left="862"/>
    </w:pPr>
  </w:style>
  <w:style w:type="paragraph" w:customStyle="1" w:styleId="StandaardInspring">
    <w:name w:val="StandaardInspring"/>
    <w:basedOn w:val="Standaard"/>
    <w:rsid w:val="0007069E"/>
    <w:pPr>
      <w:tabs>
        <w:tab w:val="left" w:pos="862"/>
        <w:tab w:val="left" w:pos="1293"/>
      </w:tabs>
      <w:ind w:left="431"/>
    </w:pPr>
  </w:style>
  <w:style w:type="paragraph" w:customStyle="1" w:styleId="Standaard8regel14Insprom2">
    <w:name w:val="Standaard8regel14Insprom2"/>
    <w:basedOn w:val="Standaard8regel14insprom"/>
    <w:rsid w:val="003104AD"/>
    <w:pPr>
      <w:tabs>
        <w:tab w:val="clear" w:pos="1531"/>
        <w:tab w:val="left" w:pos="1134"/>
      </w:tabs>
      <w:ind w:left="1134" w:hanging="1134"/>
    </w:pPr>
  </w:style>
  <w:style w:type="paragraph" w:customStyle="1" w:styleId="Puntje">
    <w:name w:val="Puntje"/>
    <w:basedOn w:val="Kop3"/>
    <w:rsid w:val="0007069E"/>
    <w:pPr>
      <w:numPr>
        <w:ilvl w:val="0"/>
        <w:numId w:val="12"/>
      </w:numPr>
      <w:tabs>
        <w:tab w:val="clear" w:pos="431"/>
      </w:tabs>
    </w:pPr>
  </w:style>
  <w:style w:type="paragraph" w:customStyle="1" w:styleId="Standaard8regel14Insprom0">
    <w:name w:val="Standaard8regel14Insprom"/>
    <w:basedOn w:val="Standaard8regel14"/>
    <w:rsid w:val="003104AD"/>
    <w:pPr>
      <w:tabs>
        <w:tab w:val="left" w:pos="1531"/>
      </w:tabs>
      <w:ind w:left="1531" w:hanging="1531"/>
    </w:pPr>
  </w:style>
  <w:style w:type="paragraph" w:customStyle="1" w:styleId="Standaard8regel14insprom">
    <w:name w:val="Standaard8regel14insprom"/>
    <w:basedOn w:val="Standaard8regel14"/>
    <w:rsid w:val="0007069E"/>
    <w:pPr>
      <w:tabs>
        <w:tab w:val="left" w:pos="1531"/>
      </w:tabs>
      <w:ind w:left="1531" w:hanging="1531"/>
    </w:pPr>
  </w:style>
  <w:style w:type="paragraph" w:styleId="Geenafstand">
    <w:name w:val="No Spacing"/>
    <w:uiPriority w:val="1"/>
    <w:qFormat/>
    <w:rsid w:val="0076097D"/>
    <w:rPr>
      <w:rFonts w:ascii="Calibri" w:eastAsia="Calibri" w:hAnsi="Calibri"/>
      <w:sz w:val="22"/>
      <w:szCs w:val="22"/>
      <w:lang w:eastAsia="en-US"/>
    </w:rPr>
  </w:style>
  <w:style w:type="paragraph" w:styleId="Voetnoottekst">
    <w:name w:val="footnote text"/>
    <w:basedOn w:val="Standaard"/>
    <w:link w:val="VoetnoottekstChar"/>
    <w:uiPriority w:val="99"/>
    <w:semiHidden/>
    <w:unhideWhenUsed/>
    <w:rsid w:val="00EB6B1D"/>
  </w:style>
  <w:style w:type="character" w:customStyle="1" w:styleId="VoetnoottekstChar">
    <w:name w:val="Voetnoottekst Char"/>
    <w:basedOn w:val="Standaardalinea-lettertype"/>
    <w:link w:val="Voetnoottekst"/>
    <w:uiPriority w:val="99"/>
    <w:semiHidden/>
    <w:rsid w:val="00EB6B1D"/>
    <w:rPr>
      <w:rFonts w:ascii="Verdana" w:hAnsi="Verdana"/>
    </w:rPr>
  </w:style>
  <w:style w:type="character" w:styleId="Voetnootmarkering">
    <w:name w:val="footnote reference"/>
    <w:basedOn w:val="Standaardalinea-lettertype"/>
    <w:uiPriority w:val="99"/>
    <w:semiHidden/>
    <w:unhideWhenUsed/>
    <w:rsid w:val="00EB6B1D"/>
    <w:rPr>
      <w:vertAlign w:val="superscript"/>
    </w:rPr>
  </w:style>
  <w:style w:type="paragraph" w:styleId="Lijstalinea">
    <w:name w:val="List Paragraph"/>
    <w:basedOn w:val="Standaard"/>
    <w:uiPriority w:val="34"/>
    <w:qFormat/>
    <w:rsid w:val="00FE452C"/>
    <w:pPr>
      <w:ind w:left="425"/>
    </w:pPr>
  </w:style>
  <w:style w:type="character" w:styleId="Verwijzingopmerking">
    <w:name w:val="annotation reference"/>
    <w:basedOn w:val="Standaardalinea-lettertype"/>
    <w:uiPriority w:val="99"/>
    <w:semiHidden/>
    <w:unhideWhenUsed/>
    <w:rsid w:val="003420F4"/>
    <w:rPr>
      <w:sz w:val="16"/>
      <w:szCs w:val="16"/>
    </w:rPr>
  </w:style>
  <w:style w:type="paragraph" w:styleId="Tekstopmerking">
    <w:name w:val="annotation text"/>
    <w:basedOn w:val="Standaard"/>
    <w:link w:val="TekstopmerkingChar"/>
    <w:uiPriority w:val="99"/>
    <w:semiHidden/>
    <w:unhideWhenUsed/>
    <w:rsid w:val="003420F4"/>
  </w:style>
  <w:style w:type="character" w:customStyle="1" w:styleId="TekstopmerkingChar">
    <w:name w:val="Tekst opmerking Char"/>
    <w:basedOn w:val="Standaardalinea-lettertype"/>
    <w:link w:val="Tekstopmerking"/>
    <w:uiPriority w:val="99"/>
    <w:semiHidden/>
    <w:rsid w:val="003420F4"/>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420F4"/>
    <w:rPr>
      <w:b/>
      <w:bCs/>
    </w:rPr>
  </w:style>
  <w:style w:type="character" w:customStyle="1" w:styleId="OnderwerpvanopmerkingChar">
    <w:name w:val="Onderwerp van opmerking Char"/>
    <w:basedOn w:val="TekstopmerkingChar"/>
    <w:link w:val="Onderwerpvanopmerking"/>
    <w:uiPriority w:val="99"/>
    <w:semiHidden/>
    <w:rsid w:val="003420F4"/>
    <w:rPr>
      <w:b/>
      <w:bCs/>
    </w:rPr>
  </w:style>
</w:styles>
</file>

<file path=word/webSettings.xml><?xml version="1.0" encoding="utf-8"?>
<w:webSettings xmlns:r="http://schemas.openxmlformats.org/officeDocument/2006/relationships" xmlns:w="http://schemas.openxmlformats.org/wordprocessingml/2006/main">
  <w:divs>
    <w:div w:id="1488865880">
      <w:bodyDiv w:val="1"/>
      <w:marLeft w:val="0"/>
      <w:marRight w:val="0"/>
      <w:marTop w:val="0"/>
      <w:marBottom w:val="0"/>
      <w:divBdr>
        <w:top w:val="none" w:sz="0" w:space="0" w:color="auto"/>
        <w:left w:val="none" w:sz="0" w:space="0" w:color="auto"/>
        <w:bottom w:val="none" w:sz="0" w:space="0" w:color="auto"/>
        <w:right w:val="none" w:sz="0" w:space="0" w:color="auto"/>
      </w:divBdr>
    </w:div>
    <w:div w:id="16808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Vgn-fp01\Vrolings\huisstijlVgn\Sjablonen\VGNBijlage.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FD30-8380-4183-A418-CC80251D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VGNBijlage.dot</Template>
  <TotalTime>10</TotalTime>
  <Pages>5</Pages>
  <Words>1848</Words>
  <Characters>10558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Bijlage</vt:lpstr>
    </vt:vector>
  </TitlesOfParts>
  <Company>Advisie Automatisering</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dc:title>
  <dc:subject/>
  <dc:creator>cduisters</dc:creator>
  <cp:keywords/>
  <cp:lastModifiedBy>samakrane</cp:lastModifiedBy>
  <cp:revision>4</cp:revision>
  <cp:lastPrinted>2010-08-25T09:03:00Z</cp:lastPrinted>
  <dcterms:created xsi:type="dcterms:W3CDTF">2010-08-25T10:30:00Z</dcterms:created>
  <dcterms:modified xsi:type="dcterms:W3CDTF">2010-08-25T11:04:00Z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vt:lpwstr>Bijlage</vt:lpwstr>
  </property>
</Properties>
</file>