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36" w:rsidRPr="000714B6" w:rsidRDefault="00C70C50" w:rsidP="00C2149F">
      <w:pPr>
        <w:sectPr w:rsidR="00546536" w:rsidRPr="000714B6" w:rsidSect="00F1528B">
          <w:headerReference w:type="default" r:id="rId7"/>
          <w:footerReference w:type="default" r:id="rId8"/>
          <w:type w:val="continuous"/>
          <w:pgSz w:w="11907" w:h="16840" w:code="9"/>
          <w:pgMar w:top="2694" w:right="1701" w:bottom="1531" w:left="1418" w:header="595" w:footer="709" w:gutter="0"/>
          <w:cols w:space="708"/>
          <w:docGrid w:linePitch="272"/>
        </w:sectPr>
      </w:pPr>
      <w:r>
        <w:rPr>
          <w:noProof/>
        </w:rPr>
        <w:pict>
          <v:shapetype id="_x0000_t202" coordsize="21600,21600" o:spt="202" path="m,l,21600r21600,l21600,xe">
            <v:stroke joinstyle="miter"/>
            <v:path gradientshapeok="t" o:connecttype="rect"/>
          </v:shapetype>
          <v:shape id="_x0000_s1048" type="#_x0000_t202" style="position:absolute;margin-left:70.9pt;margin-top:38pt;width:191.1pt;height:23.25pt;z-index:251657728;mso-position-horizontal-relative:page;mso-position-vertical-relative:page" filled="f" stroked="f">
            <v:textbox style="mso-next-textbox:#_x0000_s1048" inset="0,0,0,0">
              <w:txbxContent>
                <w:p w:rsidR="00BD27E3" w:rsidRDefault="00BD27E3">
                  <w:pPr>
                    <w:pStyle w:val="Documenttitel"/>
                  </w:pPr>
                  <w:r>
                    <w:t>Notitie</w:t>
                  </w:r>
                </w:p>
              </w:txbxContent>
            </v:textbox>
            <w10:wrap anchorx="page" anchory="page"/>
          </v:shape>
        </w:pict>
      </w:r>
    </w:p>
    <w:tbl>
      <w:tblPr>
        <w:tblW w:w="0" w:type="auto"/>
        <w:tblCellMar>
          <w:left w:w="0" w:type="dxa"/>
        </w:tblCellMar>
        <w:tblLook w:val="01E0"/>
      </w:tblPr>
      <w:tblGrid>
        <w:gridCol w:w="4522"/>
        <w:gridCol w:w="4374"/>
      </w:tblGrid>
      <w:tr w:rsidR="00546536" w:rsidRPr="000714B6">
        <w:tc>
          <w:tcPr>
            <w:tcW w:w="4522" w:type="dxa"/>
          </w:tcPr>
          <w:p w:rsidR="00546536" w:rsidRPr="000714B6" w:rsidRDefault="00546536" w:rsidP="00C2149F">
            <w:pPr>
              <w:pStyle w:val="Standaard8regel14insprom"/>
            </w:pPr>
          </w:p>
        </w:tc>
        <w:tc>
          <w:tcPr>
            <w:tcW w:w="4374" w:type="dxa"/>
          </w:tcPr>
          <w:p w:rsidR="00546536" w:rsidRPr="00A70814" w:rsidRDefault="00546536" w:rsidP="00145C0F">
            <w:pPr>
              <w:pStyle w:val="Standaard8regel14insprom"/>
              <w:rPr>
                <w:b/>
                <w:bCs/>
              </w:rPr>
            </w:pPr>
          </w:p>
        </w:tc>
      </w:tr>
      <w:tr w:rsidR="00546536" w:rsidRPr="00A70814">
        <w:tc>
          <w:tcPr>
            <w:tcW w:w="4522" w:type="dxa"/>
          </w:tcPr>
          <w:p w:rsidR="00546536" w:rsidRPr="000714B6" w:rsidRDefault="00546536" w:rsidP="00145C0F">
            <w:pPr>
              <w:pStyle w:val="Standaard8regel14insprom"/>
              <w:rPr>
                <w:b/>
                <w:bCs/>
              </w:rPr>
            </w:pPr>
          </w:p>
        </w:tc>
        <w:tc>
          <w:tcPr>
            <w:tcW w:w="4374" w:type="dxa"/>
          </w:tcPr>
          <w:p w:rsidR="00546536" w:rsidRPr="00A70814" w:rsidRDefault="00546536" w:rsidP="00145C0F">
            <w:pPr>
              <w:pStyle w:val="Standaard8regel14insprom"/>
              <w:rPr>
                <w:b/>
                <w:bCs/>
              </w:rPr>
            </w:pPr>
          </w:p>
        </w:tc>
      </w:tr>
      <w:tr w:rsidR="00546536" w:rsidRPr="00E16FD2">
        <w:tc>
          <w:tcPr>
            <w:tcW w:w="4522" w:type="dxa"/>
          </w:tcPr>
          <w:p w:rsidR="00546536" w:rsidRPr="000714B6" w:rsidRDefault="00546536" w:rsidP="00C2149F">
            <w:pPr>
              <w:pStyle w:val="Standaard8regel14insprom"/>
              <w:rPr>
                <w:b/>
                <w:bCs/>
              </w:rPr>
            </w:pPr>
          </w:p>
        </w:tc>
        <w:tc>
          <w:tcPr>
            <w:tcW w:w="4374" w:type="dxa"/>
          </w:tcPr>
          <w:p w:rsidR="00546536" w:rsidRPr="00E16FD2" w:rsidRDefault="00546536" w:rsidP="00C2149F">
            <w:pPr>
              <w:pStyle w:val="Standaard8regel14insprom"/>
              <w:rPr>
                <w:bCs/>
              </w:rPr>
            </w:pPr>
          </w:p>
        </w:tc>
      </w:tr>
      <w:tr w:rsidR="00367A1A" w:rsidRPr="00BA1CBB" w:rsidTr="00367A1A">
        <w:tc>
          <w:tcPr>
            <w:tcW w:w="4522" w:type="dxa"/>
          </w:tcPr>
          <w:p w:rsidR="00367A1A" w:rsidRPr="00E16FD2" w:rsidRDefault="00367A1A" w:rsidP="00E16FD2">
            <w:pPr>
              <w:pStyle w:val="Standaard8regel14insprom"/>
              <w:ind w:left="0" w:firstLine="0"/>
              <w:rPr>
                <w:b/>
                <w:bCs/>
              </w:rPr>
            </w:pPr>
            <w:bookmarkStart w:id="0" w:name="Voorleggertekst"/>
            <w:bookmarkStart w:id="1" w:name="blwVoorleggertekst"/>
            <w:bookmarkEnd w:id="0"/>
            <w:bookmarkEnd w:id="1"/>
          </w:p>
        </w:tc>
        <w:tc>
          <w:tcPr>
            <w:tcW w:w="4374" w:type="dxa"/>
          </w:tcPr>
          <w:p w:rsidR="00367A1A" w:rsidRPr="00DB1130" w:rsidRDefault="00367A1A" w:rsidP="00C2149F">
            <w:pPr>
              <w:pStyle w:val="Standaard8regel14insprom"/>
              <w:rPr>
                <w:b/>
                <w:bCs/>
              </w:rPr>
            </w:pPr>
          </w:p>
        </w:tc>
      </w:tr>
    </w:tbl>
    <w:p w:rsidR="00860737" w:rsidRDefault="003A1A89" w:rsidP="00C2149F">
      <w:pPr>
        <w:rPr>
          <w:b/>
          <w:u w:val="single"/>
        </w:rPr>
      </w:pPr>
      <w:r>
        <w:rPr>
          <w:b/>
          <w:u w:val="single"/>
        </w:rPr>
        <w:t>A</w:t>
      </w:r>
      <w:r w:rsidR="00860737">
        <w:rPr>
          <w:b/>
          <w:u w:val="single"/>
        </w:rPr>
        <w:t xml:space="preserve">nalyse </w:t>
      </w:r>
      <w:r>
        <w:rPr>
          <w:b/>
          <w:u w:val="single"/>
        </w:rPr>
        <w:t xml:space="preserve">van de inhoud </w:t>
      </w:r>
      <w:r w:rsidR="00860737">
        <w:rPr>
          <w:b/>
          <w:u w:val="single"/>
        </w:rPr>
        <w:t>van de kapitaallastenbrief juni 2011.</w:t>
      </w:r>
    </w:p>
    <w:p w:rsidR="00860737" w:rsidRDefault="00860737" w:rsidP="00C2149F"/>
    <w:p w:rsidR="00860737" w:rsidRPr="00860737" w:rsidRDefault="00860737" w:rsidP="00C2149F">
      <w:pPr>
        <w:rPr>
          <w:i/>
        </w:rPr>
      </w:pPr>
      <w:r w:rsidRPr="00860737">
        <w:rPr>
          <w:i/>
        </w:rPr>
        <w:t>§1 Inleiding</w:t>
      </w:r>
    </w:p>
    <w:p w:rsidR="008A2801" w:rsidRDefault="00860737" w:rsidP="00C2149F">
      <w:r>
        <w:t>In deze notitie</w:t>
      </w:r>
      <w:r w:rsidR="00C3217B">
        <w:t xml:space="preserve"> gaan we in op het voorgenomen beleid van VWS met betrekking tot de kapitaallasten (normatieve huisvestingscomponent, nhc). VWS heeft z’n voorgenomen beleid geformuleerd en </w:t>
      </w:r>
      <w:r w:rsidR="00D84043">
        <w:t xml:space="preserve">per brief naar </w:t>
      </w:r>
      <w:r w:rsidR="00C3217B">
        <w:t>de Tweede Kamer gestuurd</w:t>
      </w:r>
      <w:r w:rsidR="00D84043">
        <w:t xml:space="preserve"> (Integrale Tarieven voor de langdurige zorg en de gehele GGZ, 1 juni 2011)</w:t>
      </w:r>
      <w:r w:rsidR="00C3217B">
        <w:t xml:space="preserve">. Daarmee start een zogenaamde ‘voorhangprocedure’ (de brief wordt daarom ook wel ‘Voorhangbrief’ genoemd), dwz de brief ‘hangt’ nu 30 dagen voor bij de Kamer. In die periode moet de Tweede Kamer aangeven of en wanneer ze hierover met de staatssecretaris in debat wil. Dat debat (een Algemeen Overleg) </w:t>
      </w:r>
      <w:r w:rsidR="00D84043">
        <w:t xml:space="preserve">vindt plaats op 23 juni. </w:t>
      </w:r>
      <w:r w:rsidR="00C3217B">
        <w:t xml:space="preserve">Voor ons is dit dus het moment van de politieke </w:t>
      </w:r>
      <w:r w:rsidR="00FC2D89">
        <w:t>beïnvloeding</w:t>
      </w:r>
      <w:r w:rsidR="00C3217B">
        <w:t xml:space="preserve">. </w:t>
      </w:r>
    </w:p>
    <w:p w:rsidR="003A1A89" w:rsidRDefault="008A2801" w:rsidP="00C2149F">
      <w:r>
        <w:t xml:space="preserve">In deze </w:t>
      </w:r>
      <w:r w:rsidR="00D84043">
        <w:t>notitie</w:t>
      </w:r>
      <w:r>
        <w:t xml:space="preserve"> beperken we ons tot de inhoud van de </w:t>
      </w:r>
      <w:r w:rsidR="00942A66">
        <w:t>kapitaallastenbrief</w:t>
      </w:r>
      <w:r>
        <w:t xml:space="preserve"> en de implicaties voor de instellingen. De vraag ‘wat we ervan vinden’ komt binnenkort aan de orde </w:t>
      </w:r>
      <w:r w:rsidR="00D84043">
        <w:t>op de ALV van 23 juni. U ontvangt volgende week ter voorbereiding een annotatie bij de stukken voor de ALV.</w:t>
      </w:r>
    </w:p>
    <w:p w:rsidR="008A2801" w:rsidRDefault="008A2801" w:rsidP="00C2149F"/>
    <w:p w:rsidR="00860737" w:rsidRPr="00C3217B" w:rsidRDefault="00860737" w:rsidP="00C2149F">
      <w:pPr>
        <w:rPr>
          <w:i/>
        </w:rPr>
      </w:pPr>
      <w:r w:rsidRPr="00C3217B">
        <w:rPr>
          <w:i/>
        </w:rPr>
        <w:t xml:space="preserve">§2 </w:t>
      </w:r>
      <w:r w:rsidR="00D84043">
        <w:rPr>
          <w:i/>
        </w:rPr>
        <w:t>De tarieven</w:t>
      </w:r>
    </w:p>
    <w:p w:rsidR="007F764E" w:rsidRDefault="007F764E" w:rsidP="00C94753">
      <w:r>
        <w:t xml:space="preserve">2.1 </w:t>
      </w:r>
      <w:r w:rsidR="006027C8" w:rsidRPr="00D84043">
        <w:t>De bedragen zelf staan nog niet in deze brief</w:t>
      </w:r>
      <w:r w:rsidR="00D84043">
        <w:t xml:space="preserve">. De </w:t>
      </w:r>
      <w:r w:rsidR="006027C8" w:rsidRPr="00D84043">
        <w:t xml:space="preserve">NZa werkt dit uit </w:t>
      </w:r>
      <w:r w:rsidR="00D84043">
        <w:t>en zal w</w:t>
      </w:r>
      <w:r w:rsidR="002A7F84">
        <w:t>aarschijnlijk</w:t>
      </w:r>
      <w:r w:rsidR="00D84043">
        <w:t xml:space="preserve"> volgende week de (voorlopige) bedragen op haar site plaatsen. </w:t>
      </w:r>
      <w:r w:rsidR="006027C8" w:rsidRPr="00D84043">
        <w:t xml:space="preserve">De NHC’s zullen </w:t>
      </w:r>
      <w:r w:rsidR="002E7BF5" w:rsidRPr="00D84043">
        <w:t xml:space="preserve">lager </w:t>
      </w:r>
      <w:r w:rsidR="006027C8" w:rsidRPr="00D84043">
        <w:t xml:space="preserve">uitvallen </w:t>
      </w:r>
      <w:r w:rsidR="002E7BF5" w:rsidRPr="00D84043">
        <w:t>dan de bedragen die in de oktoberbrief van vorig jaar staan vermeld</w:t>
      </w:r>
      <w:r w:rsidR="00D84043">
        <w:t xml:space="preserve"> (om een indruk te geven: de verlaging ligt in de orde van € 300 per NHC)</w:t>
      </w:r>
      <w:r w:rsidR="002E7BF5" w:rsidRPr="00D84043">
        <w:t xml:space="preserve">. Dat komt met name omdat </w:t>
      </w:r>
      <w:r w:rsidR="00D84043">
        <w:t xml:space="preserve">VWS </w:t>
      </w:r>
      <w:r w:rsidR="002E7BF5" w:rsidRPr="00D84043">
        <w:t xml:space="preserve">de rentevergoeding verder naar beneden </w:t>
      </w:r>
      <w:r w:rsidR="00D84043">
        <w:t xml:space="preserve">heeft bijgesteld naar 5%. </w:t>
      </w:r>
      <w:r w:rsidR="002E7BF5" w:rsidRPr="00D84043">
        <w:t>Dat is aanzienlijk lager dan de 6% waarop het Bestuur steeds heeft ingezet.</w:t>
      </w:r>
      <w:r w:rsidR="00C94753" w:rsidRPr="00D84043">
        <w:t xml:space="preserve"> </w:t>
      </w:r>
      <w:r w:rsidR="006027C8" w:rsidRPr="00D84043">
        <w:t>VWS neemt als uitgangspunt</w:t>
      </w:r>
      <w:r w:rsidR="00C94753">
        <w:t xml:space="preserve"> voor de normering</w:t>
      </w:r>
      <w:r w:rsidR="006027C8" w:rsidRPr="00D84043">
        <w:t>: 30 jaar afschrijv</w:t>
      </w:r>
      <w:r w:rsidR="00C94753">
        <w:t>ing</w:t>
      </w:r>
      <w:r w:rsidR="006027C8" w:rsidRPr="00D84043">
        <w:t xml:space="preserve"> zonder tussentijdse renovatie. </w:t>
      </w:r>
      <w:r w:rsidR="00C94753">
        <w:t xml:space="preserve">Wij hebben steeds gekoerst op 40 jaar met een tussentijdse renovatie van 50%. VWS neemt dat niet over. </w:t>
      </w:r>
    </w:p>
    <w:p w:rsidR="00C94753" w:rsidRPr="00C94753" w:rsidRDefault="007F764E" w:rsidP="00C94753">
      <w:r>
        <w:t xml:space="preserve">2.2 </w:t>
      </w:r>
      <w:r w:rsidR="00C94753">
        <w:t>Helaas is op pagina 5 (evenals in de oktoberbrief) een cryptische passage blijven staan in de paragraaf over de 0.8% instandhouding: ‘</w:t>
      </w:r>
      <w:r w:rsidR="00C94753" w:rsidRPr="00C94753">
        <w:rPr>
          <w:i/>
        </w:rPr>
        <w:t xml:space="preserve">Een apart bedrag in de </w:t>
      </w:r>
      <w:r w:rsidR="00C94753">
        <w:rPr>
          <w:i/>
        </w:rPr>
        <w:t>ZZP</w:t>
      </w:r>
      <w:r w:rsidR="00C94753" w:rsidRPr="00C94753">
        <w:rPr>
          <w:i/>
        </w:rPr>
        <w:t xml:space="preserve"> voor jaarlijks onderhoud is dan niet meer nodig</w:t>
      </w:r>
      <w:r w:rsidR="00C94753">
        <w:t xml:space="preserve">’. Dit suggereert dat er ‘iets uit de ZZP’ gehaald wordt. Navraag leert: dat is niet zo! </w:t>
      </w:r>
      <w:r w:rsidR="00C94753" w:rsidRPr="00C94753">
        <w:t xml:space="preserve">De jaarlijkse instandhouding is momenteel gekoppeld aan het aantal toegelaten plaatsen, niet aan de </w:t>
      </w:r>
      <w:r w:rsidR="00C94753">
        <w:t>ZZP</w:t>
      </w:r>
      <w:r w:rsidR="00C94753" w:rsidRPr="00C94753">
        <w:t>. Deze normatieve vergoeding voor jaarlijkse instandhouding wordt in de afbouw van de huidige kapitaalslasten meegenomen</w:t>
      </w:r>
      <w:r w:rsidR="00C94753">
        <w:t xml:space="preserve"> (zie §5)</w:t>
      </w:r>
      <w:r w:rsidR="00BD27E3">
        <w:t xml:space="preserve">, omdat er </w:t>
      </w:r>
      <w:r w:rsidR="00C94753" w:rsidRPr="00C94753">
        <w:t xml:space="preserve">in de NHC een vergoeding </w:t>
      </w:r>
      <w:r w:rsidR="00BD27E3">
        <w:t xml:space="preserve">zit </w:t>
      </w:r>
      <w:r w:rsidR="00C94753" w:rsidRPr="00C94753">
        <w:t xml:space="preserve">van 0.8% voor instandhouding. Dit heeft </w:t>
      </w:r>
      <w:r w:rsidR="00C94753">
        <w:t xml:space="preserve">dus </w:t>
      </w:r>
      <w:r w:rsidR="00C94753" w:rsidRPr="00C94753">
        <w:t>geen gevolgen voor de ZZP tarieven</w:t>
      </w:r>
      <w:r w:rsidR="00C94753">
        <w:t>.</w:t>
      </w:r>
    </w:p>
    <w:p w:rsidR="002E7BF5" w:rsidRDefault="007F764E" w:rsidP="00FD7793">
      <w:r>
        <w:t xml:space="preserve">2.3 </w:t>
      </w:r>
      <w:r w:rsidR="002E7BF5" w:rsidRPr="00D84043">
        <w:t xml:space="preserve">We zijn op dit moment nog met de NZa in gesprek over een verschuiving tussen de tarieven </w:t>
      </w:r>
      <w:r w:rsidR="006027C8" w:rsidRPr="00D84043">
        <w:t xml:space="preserve">onderling </w:t>
      </w:r>
      <w:r w:rsidR="00FC2D89" w:rsidRPr="00D84043">
        <w:t>voor</w:t>
      </w:r>
      <w:r w:rsidR="002E7BF5" w:rsidRPr="00D84043">
        <w:t xml:space="preserve"> de GHZ, </w:t>
      </w:r>
      <w:r w:rsidR="006027C8" w:rsidRPr="00D84043">
        <w:t xml:space="preserve">op basis van de beleidsregel Kleinschalig Wonen. </w:t>
      </w:r>
      <w:r w:rsidR="002E7BF5" w:rsidRPr="00D84043">
        <w:t xml:space="preserve">VWS </w:t>
      </w:r>
      <w:r w:rsidR="006027C8" w:rsidRPr="00D84043">
        <w:t xml:space="preserve">biedt daar </w:t>
      </w:r>
      <w:r w:rsidR="002E7BF5" w:rsidRPr="00D84043">
        <w:t xml:space="preserve">ruimte </w:t>
      </w:r>
      <w:r w:rsidR="006027C8" w:rsidRPr="00D84043">
        <w:t xml:space="preserve">voor, </w:t>
      </w:r>
      <w:r w:rsidR="002E7BF5" w:rsidRPr="00D84043">
        <w:t xml:space="preserve">mits </w:t>
      </w:r>
      <w:r w:rsidR="006027C8" w:rsidRPr="00D84043">
        <w:t xml:space="preserve">het </w:t>
      </w:r>
      <w:r w:rsidR="002E7BF5" w:rsidRPr="00D84043">
        <w:t>macroneutraal</w:t>
      </w:r>
      <w:r w:rsidR="006027C8" w:rsidRPr="00D84043">
        <w:t xml:space="preserve"> gebeurt en </w:t>
      </w:r>
      <w:r w:rsidR="002E7BF5" w:rsidRPr="00D84043">
        <w:t xml:space="preserve">de uitgangspunten AWBZ-breed gelijk zijn. </w:t>
      </w:r>
      <w:r w:rsidR="006027C8" w:rsidRPr="00D84043">
        <w:t xml:space="preserve">Het </w:t>
      </w:r>
      <w:r w:rsidR="002E7BF5" w:rsidRPr="00D84043">
        <w:t xml:space="preserve">Bestuur </w:t>
      </w:r>
      <w:r w:rsidR="006027C8" w:rsidRPr="00D84043">
        <w:t xml:space="preserve">houdt vast </w:t>
      </w:r>
      <w:r w:rsidR="002E7BF5" w:rsidRPr="00D84043">
        <w:t>aan uitkomsten gebaseerd op de principes van de</w:t>
      </w:r>
      <w:r w:rsidR="00FD7793">
        <w:t>ze beleidsregel.</w:t>
      </w:r>
    </w:p>
    <w:p w:rsidR="00FD7793" w:rsidRDefault="007F764E" w:rsidP="00FD7793">
      <w:r>
        <w:lastRenderedPageBreak/>
        <w:t>2.4 Inmiddels is de NHC voor VG</w:t>
      </w:r>
      <w:r w:rsidR="00FD7793">
        <w:t>5 gesplitst in een NHC voor VG5 én voor VG8.</w:t>
      </w:r>
      <w:r>
        <w:t xml:space="preserve"> </w:t>
      </w:r>
      <w:r w:rsidR="00FD7793">
        <w:t xml:space="preserve">Voor VG5 (nieuw) is uitgegaan van de uitgangspunten voor </w:t>
      </w:r>
      <w:r>
        <w:t>VG 6 en 7. De NHC’s van VG 5,6,7 zijn dus gelijk. Voor VG8 is uitgegaan van de uitgangspunten van ZGvis5. De bedragen van deze twee NHC’s zijn dus ook gelijk.</w:t>
      </w:r>
    </w:p>
    <w:p w:rsidR="007F764E" w:rsidRDefault="007F764E" w:rsidP="00FD7793"/>
    <w:p w:rsidR="007F764E" w:rsidRPr="007F764E" w:rsidRDefault="007F764E" w:rsidP="006027C8">
      <w:pPr>
        <w:rPr>
          <w:i/>
        </w:rPr>
      </w:pPr>
      <w:r w:rsidRPr="007F764E">
        <w:rPr>
          <w:i/>
        </w:rPr>
        <w:t xml:space="preserve">§3 </w:t>
      </w:r>
      <w:r w:rsidR="002E7BF5" w:rsidRPr="007F764E">
        <w:rPr>
          <w:i/>
        </w:rPr>
        <w:t>De vergoeding voor de terreininfrastructuur</w:t>
      </w:r>
    </w:p>
    <w:p w:rsidR="002E7BF5" w:rsidRDefault="007F764E" w:rsidP="007F764E">
      <w:r>
        <w:t xml:space="preserve">3.1 </w:t>
      </w:r>
      <w:r w:rsidR="002E7BF5">
        <w:t xml:space="preserve">VWS </w:t>
      </w:r>
      <w:r w:rsidR="006027C8">
        <w:t xml:space="preserve">rekent in de NHC’s structureel voor </w:t>
      </w:r>
      <w:r w:rsidR="002E7BF5">
        <w:t>de</w:t>
      </w:r>
      <w:r w:rsidR="006027C8">
        <w:t xml:space="preserve"> grondkosten én de terreininfrastructuur én eventuele interimvoorzieningen met de grondprijs voor sociale woningbouw verhoogd met 10%. </w:t>
      </w:r>
      <w:r w:rsidR="009B5B13">
        <w:t xml:space="preserve">De regiotoeslag was al verdwenen. </w:t>
      </w:r>
      <w:r w:rsidR="002E7BF5">
        <w:t xml:space="preserve">Het Bestuur heeft gesteld dat er een extra vergoeding voor de terreinen nodig is en </w:t>
      </w:r>
      <w:r w:rsidR="006027C8">
        <w:t xml:space="preserve">heeft </w:t>
      </w:r>
      <w:r w:rsidR="002E7BF5">
        <w:t>daar ook onderzoek naar laten doen, maar VWS heeft dit niet</w:t>
      </w:r>
      <w:r w:rsidR="009F7A0E">
        <w:t xml:space="preserve"> </w:t>
      </w:r>
      <w:r w:rsidR="002E7BF5">
        <w:t>gehonoreerd.</w:t>
      </w:r>
      <w:r w:rsidR="006027C8">
        <w:t xml:space="preserve"> </w:t>
      </w:r>
    </w:p>
    <w:p w:rsidR="007F764E" w:rsidRDefault="007F764E" w:rsidP="007F764E">
      <w:r>
        <w:t>3.2 Voor bestaande interim-voorzieningen geldt het volgende beleid:</w:t>
      </w:r>
    </w:p>
    <w:p w:rsidR="007F764E" w:rsidRDefault="007F764E" w:rsidP="00365FF2">
      <w:pPr>
        <w:pStyle w:val="Lijstalinea"/>
        <w:numPr>
          <w:ilvl w:val="0"/>
          <w:numId w:val="42"/>
        </w:numPr>
      </w:pPr>
      <w:r w:rsidRPr="007F764E">
        <w:t>wat nu loopt, loopt ongewijzigd door, maar dan wel met afbouwpercentages</w:t>
      </w:r>
      <w:r>
        <w:t xml:space="preserve"> (zie §5);</w:t>
      </w:r>
    </w:p>
    <w:p w:rsidR="007F764E" w:rsidRPr="00365FF2" w:rsidRDefault="007F764E" w:rsidP="00365FF2">
      <w:pPr>
        <w:pStyle w:val="Lijstalinea"/>
        <w:numPr>
          <w:ilvl w:val="0"/>
          <w:numId w:val="42"/>
        </w:numPr>
        <w:rPr>
          <w:rFonts w:ascii="Times New Roman" w:hAnsi="Times New Roman"/>
          <w:sz w:val="24"/>
          <w:szCs w:val="24"/>
        </w:rPr>
      </w:pPr>
      <w:r>
        <w:t>in</w:t>
      </w:r>
      <w:r w:rsidRPr="007F764E">
        <w:t>terim-huisvesting die in 2012 wordt gerealiseerd en in gebruik genomen valt onder de huidige regelgeving</w:t>
      </w:r>
      <w:r>
        <w:t>; de</w:t>
      </w:r>
      <w:r w:rsidRPr="007F764E">
        <w:t xml:space="preserve"> nacalculatie over deze kosten wordt afgebouwd volgens de stappen</w:t>
      </w:r>
      <w:r>
        <w:t xml:space="preserve"> in §5;</w:t>
      </w:r>
    </w:p>
    <w:p w:rsidR="007F764E" w:rsidRPr="007F764E" w:rsidRDefault="007F764E" w:rsidP="007F764E">
      <w:pPr>
        <w:pStyle w:val="Lijstalinea"/>
        <w:numPr>
          <w:ilvl w:val="0"/>
          <w:numId w:val="42"/>
        </w:numPr>
        <w:rPr>
          <w:rFonts w:ascii="Times New Roman" w:hAnsi="Times New Roman"/>
          <w:sz w:val="24"/>
          <w:szCs w:val="24"/>
        </w:rPr>
      </w:pPr>
      <w:r>
        <w:t>vanaf</w:t>
      </w:r>
      <w:r w:rsidRPr="007F764E">
        <w:t xml:space="preserve"> 2013 zal interim-huisvesting worden gemaximeerd </w:t>
      </w:r>
      <w:r>
        <w:t xml:space="preserve">in het aantal vierkante meters </w:t>
      </w:r>
      <w:r w:rsidRPr="007F764E">
        <w:t>én meelopen in de afbouw van de nacalculatie.</w:t>
      </w:r>
    </w:p>
    <w:p w:rsidR="007F764E" w:rsidRDefault="007F764E" w:rsidP="007F764E">
      <w:pPr>
        <w:rPr>
          <w:rFonts w:ascii="Times New Roman" w:hAnsi="Times New Roman"/>
          <w:sz w:val="24"/>
          <w:szCs w:val="24"/>
        </w:rPr>
      </w:pPr>
      <w:r>
        <w:rPr>
          <w:rFonts w:ascii="Times New Roman" w:hAnsi="Times New Roman"/>
          <w:sz w:val="24"/>
          <w:szCs w:val="24"/>
        </w:rPr>
        <w:t> </w:t>
      </w:r>
    </w:p>
    <w:p w:rsidR="00365FF2" w:rsidRPr="00365FF2" w:rsidRDefault="00365FF2" w:rsidP="006027C8">
      <w:pPr>
        <w:rPr>
          <w:i/>
        </w:rPr>
      </w:pPr>
      <w:r w:rsidRPr="00365FF2">
        <w:rPr>
          <w:i/>
        </w:rPr>
        <w:t xml:space="preserve">§4 </w:t>
      </w:r>
      <w:r w:rsidR="009F7A0E" w:rsidRPr="00365FF2">
        <w:rPr>
          <w:i/>
        </w:rPr>
        <w:t>M</w:t>
      </w:r>
      <w:r w:rsidR="00A01A89" w:rsidRPr="00365FF2">
        <w:rPr>
          <w:i/>
        </w:rPr>
        <w:t>odulaire opbouw</w:t>
      </w:r>
    </w:p>
    <w:p w:rsidR="00365FF2" w:rsidRDefault="00365FF2" w:rsidP="006027C8">
      <w:r>
        <w:t xml:space="preserve">4.1 </w:t>
      </w:r>
      <w:r w:rsidR="00A01A89">
        <w:t>Tot nu toe was er sprake van één integrale NHC per ZZP, waaruit dan alle ‘gebouwkosten’ betaald moe</w:t>
      </w:r>
      <w:r>
        <w:t>s</w:t>
      </w:r>
      <w:r w:rsidR="00A01A89">
        <w:t xml:space="preserve">ten worden. </w:t>
      </w:r>
      <w:r w:rsidR="00E16FD2">
        <w:t xml:space="preserve">Nu zal de NHC worden opgesplitst in drie modules: </w:t>
      </w:r>
      <w:r w:rsidR="009B5B13">
        <w:t xml:space="preserve">voor </w:t>
      </w:r>
      <w:r w:rsidR="00E16FD2">
        <w:t>wonen</w:t>
      </w:r>
      <w:r>
        <w:t xml:space="preserve"> (inclusief overhead)</w:t>
      </w:r>
      <w:r w:rsidR="00E16FD2">
        <w:t>, dagbesteding en behandeling. Vergoeding vindt plaats overeenkomstig de indicatiestelling en daarmee overeenkomstig de ZZP-</w:t>
      </w:r>
      <w:r w:rsidR="00E16FD2" w:rsidRPr="00BD27E3">
        <w:t>systematiek.</w:t>
      </w:r>
      <w:r w:rsidRPr="00BD27E3">
        <w:t xml:space="preserve"> </w:t>
      </w:r>
      <w:r w:rsidR="00E16FD2" w:rsidRPr="00BD27E3">
        <w:t>Per saldo krijgt een</w:t>
      </w:r>
      <w:r w:rsidR="00E16FD2">
        <w:t xml:space="preserve"> instelling minder vergoeding binnen. Qua </w:t>
      </w:r>
      <w:r w:rsidR="009B5B13">
        <w:t xml:space="preserve">consistentie met de zorgzwaartebekostiging </w:t>
      </w:r>
      <w:r w:rsidR="00E16FD2">
        <w:t>en administratief gezien is het wellicht zuiver; het is niet in lijn met toenemend ondernemerschap (wat nu net de bedoeling was</w:t>
      </w:r>
      <w:r w:rsidR="00BD27E3">
        <w:t>) en uiteindelijk is het een vorm van bezuiniging ten opzichte van een integrale NHC.</w:t>
      </w:r>
      <w:r>
        <w:t xml:space="preserve"> </w:t>
      </w:r>
    </w:p>
    <w:p w:rsidR="00365FF2" w:rsidRPr="00820604" w:rsidRDefault="00820604" w:rsidP="006027C8">
      <w:r>
        <w:t xml:space="preserve">4.2 De VGN </w:t>
      </w:r>
      <w:r w:rsidR="006C0B22">
        <w:t xml:space="preserve">wil verandering van de techniek </w:t>
      </w:r>
      <w:r>
        <w:t xml:space="preserve">van de berekeningswijze van de componenten. Er zit iets heel merkwaardigs in: TNO heeft de opsplitsing moeten berekenen op basis van het rapport </w:t>
      </w:r>
      <w:r>
        <w:rPr>
          <w:i/>
        </w:rPr>
        <w:t>Investeringskosten per zorgzwaartepakket, november 2009.</w:t>
      </w:r>
      <w:r>
        <w:t xml:space="preserve"> Alle NHC’s zijn nl. hierop gebaseerd. Wij hebben ons steeds op het standpunt gesteld dat deze onderbouwing onvoldoende is. Niet voor niets heeft TNO dit rapport in 2010 geactualiseerd. Maar VWS is blijven uitgaan van het rapport uit 2009. Welnu, in dat rapport is Behandeling voor de GHZ niet meegenomen (voor de insiders: blz. 19 van het rapport). Dat betekent dat voor een aantal ZZP’s </w:t>
      </w:r>
      <w:r w:rsidR="006C0B22">
        <w:t xml:space="preserve">(bijvoorbeeld VG3,4; LG3,4; ZCvis3) </w:t>
      </w:r>
      <w:r>
        <w:t xml:space="preserve">in de overeenkomstige NHC </w:t>
      </w:r>
      <w:r w:rsidR="006C0B22">
        <w:t xml:space="preserve">€ 0,- is opgenomen voor component Behandeling, terwijl de functie Behandeling wel </w:t>
      </w:r>
      <w:r w:rsidR="00942A66">
        <w:t>geïndiceerd</w:t>
      </w:r>
      <w:r w:rsidR="006C0B22">
        <w:t xml:space="preserve"> wordt. </w:t>
      </w:r>
      <w:r w:rsidR="003A3EC5">
        <w:t>Als dit niet per 2012 aangepast wordt, komen we daar in het onderhoudstraject op terug.</w:t>
      </w:r>
    </w:p>
    <w:p w:rsidR="00BD27E3" w:rsidRDefault="00BD27E3" w:rsidP="009B5B13">
      <w:pPr>
        <w:rPr>
          <w:i/>
        </w:rPr>
      </w:pPr>
    </w:p>
    <w:p w:rsidR="003A3EC5" w:rsidRPr="003A3EC5" w:rsidRDefault="003A3EC5" w:rsidP="009B5B13">
      <w:pPr>
        <w:rPr>
          <w:i/>
        </w:rPr>
      </w:pPr>
      <w:r w:rsidRPr="003A3EC5">
        <w:rPr>
          <w:i/>
        </w:rPr>
        <w:t xml:space="preserve">§5 </w:t>
      </w:r>
      <w:r w:rsidR="009F7A0E" w:rsidRPr="003A3EC5">
        <w:rPr>
          <w:i/>
        </w:rPr>
        <w:t>Overgangsperiode</w:t>
      </w:r>
    </w:p>
    <w:p w:rsidR="003A1A89" w:rsidRDefault="003A3EC5" w:rsidP="003A3EC5">
      <w:pPr>
        <w:rPr>
          <w:highlight w:val="yellow"/>
        </w:rPr>
      </w:pPr>
      <w:r>
        <w:t xml:space="preserve">5.1 </w:t>
      </w:r>
      <w:r w:rsidR="009F7A0E">
        <w:t xml:space="preserve">Er komt een overgangsperiode van 6 jaar, waarin de nacalculatie </w:t>
      </w:r>
      <w:r>
        <w:t xml:space="preserve">jaarlijks </w:t>
      </w:r>
      <w:r w:rsidR="009F7A0E">
        <w:t xml:space="preserve">stapsgewijs wordt afgebouwd </w:t>
      </w:r>
      <w:r>
        <w:t xml:space="preserve">(90%, 80%, 70%, 50%. 30% en 15%) </w:t>
      </w:r>
      <w:r w:rsidR="009F7A0E">
        <w:t xml:space="preserve">en de productiegebonden vergoeding </w:t>
      </w:r>
      <w:r w:rsidR="00BD27E3">
        <w:t>voor</w:t>
      </w:r>
      <w:r w:rsidR="009F7A0E">
        <w:t xml:space="preserve"> NHC</w:t>
      </w:r>
      <w:r>
        <w:t>’</w:t>
      </w:r>
      <w:r w:rsidR="009F7A0E">
        <w:t xml:space="preserve">s </w:t>
      </w:r>
      <w:r>
        <w:t xml:space="preserve">jaarlijks </w:t>
      </w:r>
      <w:r w:rsidR="009F7A0E">
        <w:t>stapsgewijs wordt opgebouwd</w:t>
      </w:r>
      <w:r>
        <w:t xml:space="preserve"> (spiegelpercentages: 10%, 20% </w:t>
      </w:r>
      <w:r w:rsidR="00942A66">
        <w:t>etc.</w:t>
      </w:r>
      <w:r>
        <w:t>)</w:t>
      </w:r>
      <w:r w:rsidR="009F7A0E">
        <w:t xml:space="preserve">. Dit is </w:t>
      </w:r>
      <w:r w:rsidR="009B5B13">
        <w:t>een acceptabele overgangsvorm waarin zeker in de tweede helft wel een aantal ‘inverdien-effecten’ zitten.</w:t>
      </w:r>
      <w:r w:rsidR="00160381">
        <w:t xml:space="preserve"> Het opbouw-deel</w:t>
      </w:r>
      <w:r>
        <w:t>,</w:t>
      </w:r>
      <w:r w:rsidR="00160381">
        <w:t xml:space="preserve"> gebaseerd op de ZZP/NHC-mix</w:t>
      </w:r>
      <w:r>
        <w:t xml:space="preserve"> </w:t>
      </w:r>
      <w:r w:rsidR="00160381">
        <w:t xml:space="preserve">wordt in de contracteerruimte opgenomen, maar het </w:t>
      </w:r>
      <w:r>
        <w:t>is</w:t>
      </w:r>
      <w:r w:rsidR="00160381">
        <w:t xml:space="preserve"> een niet-onderhandelbaar </w:t>
      </w:r>
      <w:r>
        <w:t>(punt)</w:t>
      </w:r>
      <w:r w:rsidR="00160381">
        <w:t>tarief.</w:t>
      </w:r>
      <w:r w:rsidR="000E2F33">
        <w:t xml:space="preserve"> </w:t>
      </w:r>
      <w:r>
        <w:t>Er zit wel een addertje onder het gras: bij meer productie dan afgesproken, krijgt een instelling maximaal de vergoeding tot het niveau van de afspraak, conform de vergoeding voor de ZZP. De NHC volgt ahw de ZZP.</w:t>
      </w:r>
    </w:p>
    <w:p w:rsidR="003A1A89" w:rsidRDefault="003A3EC5" w:rsidP="009B5B13">
      <w:r w:rsidRPr="003A3EC5">
        <w:t>5.2</w:t>
      </w:r>
      <w:r>
        <w:t xml:space="preserve"> Het bedrag van de nacalculatie wordt jaarlijks opnieuw vastgesteld. Voorbeeld: als u in 2014 investeert, worden de werkelijke kosten verhoogd. Het nacalculeerbare </w:t>
      </w:r>
      <w:r w:rsidR="00942A66">
        <w:t xml:space="preserve">bedrag </w:t>
      </w:r>
      <w:r>
        <w:t xml:space="preserve">in 2014 waarover u 70% ontvangt, is dus hoger dan het nacalculeerbare bedrag waarover u in 2013 80% ontving. In jargon zijn we dat </w:t>
      </w:r>
      <w:r w:rsidR="00CC5AC9">
        <w:t xml:space="preserve">‘dynamische nacalculatie’ gaan noemen. </w:t>
      </w:r>
      <w:r w:rsidR="00BD27E3">
        <w:t>Voor was dat een belangrijke voorwaarde.</w:t>
      </w:r>
    </w:p>
    <w:p w:rsidR="003A3EC5" w:rsidRDefault="003A3EC5" w:rsidP="009B5B13"/>
    <w:p w:rsidR="00160381" w:rsidRPr="00CC5AC9" w:rsidRDefault="00CC5AC9" w:rsidP="009B5B13">
      <w:pPr>
        <w:rPr>
          <w:i/>
        </w:rPr>
      </w:pPr>
      <w:r w:rsidRPr="00CC5AC9">
        <w:rPr>
          <w:i/>
        </w:rPr>
        <w:t xml:space="preserve">§6 </w:t>
      </w:r>
      <w:r w:rsidR="009F7A0E" w:rsidRPr="00CC5AC9">
        <w:rPr>
          <w:i/>
        </w:rPr>
        <w:t>De boekwaarde</w:t>
      </w:r>
    </w:p>
    <w:p w:rsidR="00160381" w:rsidRDefault="00CC5AC9" w:rsidP="00CC5AC9">
      <w:r>
        <w:t xml:space="preserve">6.1 </w:t>
      </w:r>
      <w:r w:rsidR="00BF1841">
        <w:t xml:space="preserve">De indertijd niet toegekende bouwimpulsmiddelen werden in de oktoberbrief alsnog in het vooruitzicht gesteld. Deze middelen komen er echter niet! </w:t>
      </w:r>
    </w:p>
    <w:p w:rsidR="00160381" w:rsidRDefault="00CC5AC9" w:rsidP="00CC5AC9">
      <w:r>
        <w:t xml:space="preserve">6.2 </w:t>
      </w:r>
      <w:r w:rsidR="00BF1841">
        <w:t xml:space="preserve">De </w:t>
      </w:r>
      <w:r w:rsidR="00FC2D89">
        <w:t>immateriële</w:t>
      </w:r>
      <w:r w:rsidR="00BF1841">
        <w:t xml:space="preserve"> vaste activa (zoals spookpanden) die </w:t>
      </w:r>
      <w:r>
        <w:t xml:space="preserve">in het boekjaar </w:t>
      </w:r>
      <w:r w:rsidR="00BF1841">
        <w:t xml:space="preserve">2010 op de balans staan, worden vergoed tijdens het overgangstraject van 6 jaar in 6 gelijke delen. </w:t>
      </w:r>
      <w:r>
        <w:t xml:space="preserve">Nog niet duidelijk is of de peildatum 1-1-2010 of 31-12-2010 zal zijn. </w:t>
      </w:r>
    </w:p>
    <w:p w:rsidR="00160381" w:rsidRDefault="00CC5AC9" w:rsidP="00CC5AC9">
      <w:r>
        <w:t xml:space="preserve">6.3 Voor </w:t>
      </w:r>
      <w:r w:rsidR="00BF1841">
        <w:t xml:space="preserve">huur en verkorting van de afschrijving komt geen extra vergoeding. </w:t>
      </w:r>
    </w:p>
    <w:p w:rsidR="00BF1841" w:rsidRDefault="00CC5AC9" w:rsidP="00160381">
      <w:r>
        <w:t xml:space="preserve">Dit is alles wat VWS bijdraagt aan de oplossing van het </w:t>
      </w:r>
      <w:r w:rsidR="008F17A7">
        <w:t>boekwaardeproble</w:t>
      </w:r>
      <w:r>
        <w:t>e</w:t>
      </w:r>
      <w:r w:rsidR="008F17A7">
        <w:t xml:space="preserve">m. </w:t>
      </w:r>
      <w:r w:rsidR="00BF1841">
        <w:t xml:space="preserve">Dit </w:t>
      </w:r>
      <w:r>
        <w:t xml:space="preserve">kan voor instellingen enorme </w:t>
      </w:r>
      <w:r w:rsidR="00942A66">
        <w:t>financiële</w:t>
      </w:r>
      <w:r>
        <w:t xml:space="preserve"> consequenties hebben.</w:t>
      </w:r>
      <w:r w:rsidR="00BF1841">
        <w:t xml:space="preserve"> Voor </w:t>
      </w:r>
      <w:r w:rsidR="008F17A7">
        <w:t xml:space="preserve">het Bestuur van </w:t>
      </w:r>
      <w:r w:rsidR="00BF1841">
        <w:t xml:space="preserve">de VGN is de oplossing van deze problematiek </w:t>
      </w:r>
      <w:r w:rsidR="008F17A7">
        <w:t xml:space="preserve">een zwaar punt en </w:t>
      </w:r>
      <w:r w:rsidR="00BF1841">
        <w:t xml:space="preserve">een harde voorwaarde. </w:t>
      </w:r>
    </w:p>
    <w:p w:rsidR="00CC5AC9" w:rsidRDefault="00CC5AC9" w:rsidP="00160381"/>
    <w:p w:rsidR="00CC5AC9" w:rsidRPr="00CC5AC9" w:rsidRDefault="00CC5AC9" w:rsidP="009B5B13">
      <w:pPr>
        <w:rPr>
          <w:i/>
        </w:rPr>
      </w:pPr>
      <w:r w:rsidRPr="00CC5AC9">
        <w:rPr>
          <w:i/>
        </w:rPr>
        <w:t xml:space="preserve">§7 </w:t>
      </w:r>
      <w:r w:rsidR="009B5B13" w:rsidRPr="00CC5AC9">
        <w:rPr>
          <w:i/>
        </w:rPr>
        <w:t>Scheiden wonen en zorg</w:t>
      </w:r>
    </w:p>
    <w:p w:rsidR="009B5B13" w:rsidRDefault="00160381" w:rsidP="009B5B13">
      <w:r>
        <w:t xml:space="preserve">Per 2014 wordt het wonen uit de ZZP geschrapt </w:t>
      </w:r>
      <w:r w:rsidR="00CC5AC9">
        <w:t xml:space="preserve">(dus een </w:t>
      </w:r>
      <w:r w:rsidR="00942A66">
        <w:t>financiële</w:t>
      </w:r>
      <w:r w:rsidR="00CC5AC9">
        <w:t xml:space="preserve"> scheiding) </w:t>
      </w:r>
      <w:r>
        <w:t xml:space="preserve">voor ZZP 1 en 2 van de V&amp;V-sector. </w:t>
      </w:r>
      <w:r w:rsidR="000E2F33">
        <w:t xml:space="preserve">Via de weg van de geleidelijkheid zal in de jaren daarna het scheiden van wonen en zorg over de hele linie worden doorgevoerd. Het Kabinet ziet daarbij het invoeren van integrale tarieven als een opmaat naar volledig scheiden van wonen en zorg. Of en in hoeverre bepaalde doelgroepen van een definitief scheiden </w:t>
      </w:r>
      <w:r w:rsidR="00CC5AC9">
        <w:t xml:space="preserve">van </w:t>
      </w:r>
      <w:r w:rsidR="000E2F33">
        <w:t xml:space="preserve">wonen </w:t>
      </w:r>
      <w:r w:rsidR="00CC5AC9">
        <w:t xml:space="preserve">en </w:t>
      </w:r>
      <w:r w:rsidR="000E2F33">
        <w:t>zorg zullen worden uitgezonderd, staat niet letterlijk vermeld, noch in de kapitaallastenbrief, noch in de Programmabrief. Wel moet er nog allerlei onderzoek gedaan worden naar de effecten voor alle doelgroepen. De denkrichting van het huidige Kabinet is duidelijk</w:t>
      </w:r>
      <w:r w:rsidR="00CC5AC9">
        <w:t xml:space="preserve">, maar </w:t>
      </w:r>
      <w:r w:rsidR="000E2F33">
        <w:t>hoe het in de loop der jaren daadwerkelijk gaat uitpakken, zal moeten blijken. De VGN heeft zich steeds op het standpunt gesteld dat een geleidelijke groei prima is voor de doelgroepen waarvoor het meerwaarde heeft</w:t>
      </w:r>
      <w:r w:rsidR="00CC5AC9">
        <w:t xml:space="preserve"> (met name bij individueel wonen)</w:t>
      </w:r>
      <w:r w:rsidR="000E2F33">
        <w:t>, maar dat forceren een nutteloze en onuitvoerbare operatie is dat geen enkel kwaliteitsdoel dient</w:t>
      </w:r>
      <w:r w:rsidR="00CC5AC9">
        <w:t xml:space="preserve">, zeker als het gaat om het </w:t>
      </w:r>
      <w:r w:rsidR="00942A66">
        <w:t>financiële</w:t>
      </w:r>
      <w:r w:rsidR="00CC5AC9">
        <w:t xml:space="preserve"> scheiden van wonen en zorg binnen bestaande gebouwen voor groepswonen.</w:t>
      </w:r>
      <w:r w:rsidR="000E2F33">
        <w:t xml:space="preserve"> </w:t>
      </w:r>
    </w:p>
    <w:p w:rsidR="009F7A0E" w:rsidRDefault="009F7A0E" w:rsidP="00CC5AC9"/>
    <w:p w:rsidR="004B3463" w:rsidRPr="004B3463" w:rsidRDefault="004B3463" w:rsidP="00CC5AC9">
      <w:pPr>
        <w:rPr>
          <w:i/>
        </w:rPr>
      </w:pPr>
      <w:r w:rsidRPr="004B3463">
        <w:rPr>
          <w:i/>
        </w:rPr>
        <w:t xml:space="preserve">§8 </w:t>
      </w:r>
      <w:r w:rsidR="00657910">
        <w:rPr>
          <w:i/>
        </w:rPr>
        <w:t>Diversen</w:t>
      </w:r>
    </w:p>
    <w:p w:rsidR="004B3463" w:rsidRDefault="00657910" w:rsidP="00CC5AC9">
      <w:r>
        <w:t xml:space="preserve">Er zijn enkele onderwerpen die niet expliciet in de kapitaallastenbrief aan de orde komen, maar die wel </w:t>
      </w:r>
      <w:r w:rsidR="00942A66">
        <w:t>rechtstreeks</w:t>
      </w:r>
      <w:r>
        <w:t xml:space="preserve"> verband houden met de invoering van de NHC’s. </w:t>
      </w:r>
    </w:p>
    <w:p w:rsidR="002A7F84" w:rsidRDefault="002A7F84" w:rsidP="00CC5AC9">
      <w:pPr>
        <w:rPr>
          <w:i/>
        </w:rPr>
      </w:pPr>
    </w:p>
    <w:p w:rsidR="00657910" w:rsidRPr="00BD27E3" w:rsidRDefault="00657910" w:rsidP="00CC5AC9">
      <w:pPr>
        <w:rPr>
          <w:i/>
          <w:sz w:val="18"/>
          <w:szCs w:val="18"/>
        </w:rPr>
      </w:pPr>
      <w:r w:rsidRPr="00BD27E3">
        <w:rPr>
          <w:i/>
          <w:sz w:val="18"/>
          <w:szCs w:val="18"/>
        </w:rPr>
        <w:t>8.1 Kinderdagcentra</w:t>
      </w:r>
    </w:p>
    <w:p w:rsidR="00657910" w:rsidRDefault="00657910" w:rsidP="00CC5AC9">
      <w:r>
        <w:t xml:space="preserve">Er komt één NHC voor elke KDC-plaats, waarbij de norm gebaseerd wordt op een bezettingspercentage van 90% en op een schaalgrootte van 48 plaatsen. In de Vastgoedberichtgeving van 26 mei hebben we u </w:t>
      </w:r>
      <w:r w:rsidR="002A7F84">
        <w:t xml:space="preserve">hierover breder </w:t>
      </w:r>
      <w:r w:rsidR="00942A66">
        <w:t>geïnformeerd</w:t>
      </w:r>
      <w:r>
        <w:t xml:space="preserve">. </w:t>
      </w:r>
      <w:r w:rsidR="002A7F84">
        <w:t>Daarin gingen we nog uit van 5.2% rente en kwam</w:t>
      </w:r>
      <w:r w:rsidR="00BD27E3">
        <w:t xml:space="preserve"> de verwachte NHC uit op </w:t>
      </w:r>
      <w:r w:rsidR="002A7F84">
        <w:t>ongeveer € 7000,- per plaats. Nu de rente is aangepast naar 5% zal ook dit bedrag naar beneden gaan afwijken. Omdat momenteel volledige nacalculatie geldt, is er een overgangstraject nodig. De NZa heeft gekozen voor de parallel met de overige nacalculaties in 6 jaar (zie §5).</w:t>
      </w:r>
    </w:p>
    <w:p w:rsidR="002A7F84" w:rsidRDefault="002A7F84" w:rsidP="00CC5AC9">
      <w:pPr>
        <w:rPr>
          <w:i/>
        </w:rPr>
      </w:pPr>
    </w:p>
    <w:p w:rsidR="002A7F84" w:rsidRPr="00BD27E3" w:rsidRDefault="002A7F84" w:rsidP="00CC5AC9">
      <w:pPr>
        <w:rPr>
          <w:i/>
          <w:sz w:val="18"/>
          <w:szCs w:val="18"/>
        </w:rPr>
      </w:pPr>
      <w:r w:rsidRPr="00BD27E3">
        <w:rPr>
          <w:i/>
          <w:sz w:val="18"/>
          <w:szCs w:val="18"/>
        </w:rPr>
        <w:t>8.2 Crisisplaatsen</w:t>
      </w:r>
    </w:p>
    <w:p w:rsidR="002A7F84" w:rsidRDefault="002A7F84" w:rsidP="00CC5AC9">
      <w:r>
        <w:t>De NHC voor crisisplaatsen wordt als volgt vastgesteld:</w:t>
      </w:r>
    </w:p>
    <w:p w:rsidR="002A7F84" w:rsidRDefault="002A7F84" w:rsidP="002A7F84">
      <w:pPr>
        <w:pStyle w:val="Lijstalinea"/>
        <w:numPr>
          <w:ilvl w:val="0"/>
          <w:numId w:val="42"/>
        </w:numPr>
      </w:pPr>
      <w:r>
        <w:t>VG zonder behandeling: dat wordt het bedrag van de NHC voor V&amp;V6, exclusief behandeling en exclusief dagbesteding;</w:t>
      </w:r>
    </w:p>
    <w:p w:rsidR="002A7F84" w:rsidRDefault="002A7F84" w:rsidP="002A7F84">
      <w:pPr>
        <w:pStyle w:val="Lijstalinea"/>
        <w:numPr>
          <w:ilvl w:val="0"/>
          <w:numId w:val="42"/>
        </w:numPr>
      </w:pPr>
      <w:r>
        <w:t>VG met behandeling: idem V&amp;V6 inclusief behandeling en exclusief dagbesteding;</w:t>
      </w:r>
    </w:p>
    <w:p w:rsidR="002A7F84" w:rsidRDefault="002A7F84" w:rsidP="002A7F84">
      <w:pPr>
        <w:pStyle w:val="Lijstalinea"/>
        <w:numPr>
          <w:ilvl w:val="0"/>
          <w:numId w:val="42"/>
        </w:numPr>
      </w:pPr>
      <w:r>
        <w:t>steeds gebaseerd op 100% bezetting.</w:t>
      </w:r>
    </w:p>
    <w:p w:rsidR="002A7F84" w:rsidRDefault="002A7F84" w:rsidP="002A7F84">
      <w:r>
        <w:t>De bedragen worden binnenkort bekend gemaakt door de NZa (zie ook §2).</w:t>
      </w:r>
    </w:p>
    <w:p w:rsidR="002A7F84" w:rsidRDefault="002A7F84" w:rsidP="002A7F84">
      <w:pPr>
        <w:rPr>
          <w:i/>
        </w:rPr>
      </w:pPr>
    </w:p>
    <w:p w:rsidR="002A7F84" w:rsidRPr="00BD27E3" w:rsidRDefault="002A7F84" w:rsidP="002A7F84">
      <w:pPr>
        <w:rPr>
          <w:i/>
          <w:sz w:val="18"/>
          <w:szCs w:val="18"/>
        </w:rPr>
      </w:pPr>
      <w:r w:rsidRPr="00BD27E3">
        <w:rPr>
          <w:i/>
          <w:sz w:val="18"/>
          <w:szCs w:val="18"/>
        </w:rPr>
        <w:t>8.3 Logeren</w:t>
      </w:r>
    </w:p>
    <w:p w:rsidR="002A7F84" w:rsidRPr="00BD27E3" w:rsidRDefault="002A7F84" w:rsidP="002A7F84">
      <w:r w:rsidRPr="00BD27E3">
        <w:t>Deze NHC is nog in onderzoek en dit volgt later, wellicht nog wel per 2012.</w:t>
      </w:r>
    </w:p>
    <w:p w:rsidR="002A7F84" w:rsidRPr="00BD27E3" w:rsidRDefault="002A7F84" w:rsidP="002A7F84">
      <w:pPr>
        <w:rPr>
          <w:i/>
        </w:rPr>
      </w:pPr>
    </w:p>
    <w:p w:rsidR="002A7F84" w:rsidRPr="00BD27E3" w:rsidRDefault="002A7F84" w:rsidP="002A7F84">
      <w:pPr>
        <w:rPr>
          <w:i/>
          <w:sz w:val="18"/>
          <w:szCs w:val="18"/>
        </w:rPr>
      </w:pPr>
      <w:r w:rsidRPr="00BD27E3">
        <w:rPr>
          <w:i/>
          <w:sz w:val="18"/>
          <w:szCs w:val="18"/>
        </w:rPr>
        <w:t>8.4 Inventaris</w:t>
      </w:r>
    </w:p>
    <w:p w:rsidR="002A7F84" w:rsidRDefault="002A7F84" w:rsidP="002A7F84">
      <w:r w:rsidRPr="00BD27E3">
        <w:t>Ook dit is nog in onderzoek en niet afgerond. In 2012 blijft de huidige beleidsregel nog volledig van kracht, in afwachting van een definitieve oplossing.</w:t>
      </w:r>
    </w:p>
    <w:p w:rsidR="002A7F84" w:rsidRDefault="002A7F84" w:rsidP="002A7F84"/>
    <w:p w:rsidR="002A7F84" w:rsidRDefault="002A7F84" w:rsidP="002A7F84"/>
    <w:p w:rsidR="002A7F84" w:rsidRDefault="002A7F84" w:rsidP="002A7F84"/>
    <w:p w:rsidR="002A7F84" w:rsidRDefault="002A7F84" w:rsidP="002A7F84"/>
    <w:p w:rsidR="002A7F84" w:rsidRDefault="00076729" w:rsidP="00CC5AC9">
      <w:r>
        <w:t>Frits Mul</w:t>
      </w:r>
    </w:p>
    <w:p w:rsidR="00076729" w:rsidRDefault="00076729" w:rsidP="00CC5AC9">
      <w:r>
        <w:t>VGN</w:t>
      </w:r>
    </w:p>
    <w:p w:rsidR="00076729" w:rsidRDefault="00076729" w:rsidP="00CC5AC9">
      <w:r>
        <w:t>9 juni 2011.</w:t>
      </w:r>
    </w:p>
    <w:p w:rsidR="002A7F84" w:rsidRDefault="002A7F84" w:rsidP="00CC5AC9"/>
    <w:p w:rsidR="002A7F84" w:rsidRDefault="002A7F84" w:rsidP="00CC5AC9"/>
    <w:sectPr w:rsidR="002A7F84" w:rsidSect="006127AB">
      <w:footerReference w:type="default" r:id="rId9"/>
      <w:type w:val="continuous"/>
      <w:pgSz w:w="11907" w:h="16840" w:code="9"/>
      <w:pgMar w:top="3119" w:right="1701" w:bottom="1531" w:left="1418" w:header="595"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E3" w:rsidRDefault="00BD27E3">
      <w:pPr>
        <w:spacing w:line="240" w:lineRule="auto"/>
      </w:pPr>
      <w:r>
        <w:separator/>
      </w:r>
    </w:p>
  </w:endnote>
  <w:endnote w:type="continuationSeparator" w:id="0">
    <w:p w:rsidR="00BD27E3" w:rsidRDefault="00BD27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69"/>
      <w:docPartObj>
        <w:docPartGallery w:val="Page Numbers (Bottom of Page)"/>
        <w:docPartUnique/>
      </w:docPartObj>
    </w:sdtPr>
    <w:sdtContent>
      <w:p w:rsidR="00BD27E3" w:rsidRDefault="00BD27E3">
        <w:pPr>
          <w:pStyle w:val="Voettekst"/>
          <w:jc w:val="right"/>
        </w:pPr>
        <w:fldSimple w:instr=" PAGE   \* MERGEFORMAT ">
          <w:r w:rsidR="00176653">
            <w:rPr>
              <w:noProof/>
            </w:rPr>
            <w:t>1</w:t>
          </w:r>
        </w:fldSimple>
      </w:p>
    </w:sdtContent>
  </w:sdt>
  <w:p w:rsidR="00BD27E3" w:rsidRDefault="00BD27E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3047"/>
      <w:docPartObj>
        <w:docPartGallery w:val="Page Numbers (Bottom of Page)"/>
        <w:docPartUnique/>
      </w:docPartObj>
    </w:sdtPr>
    <w:sdtContent>
      <w:p w:rsidR="00BD27E3" w:rsidRDefault="00BD27E3">
        <w:pPr>
          <w:pStyle w:val="Voettekst"/>
          <w:jc w:val="right"/>
        </w:pPr>
        <w:fldSimple w:instr=" PAGE   \* MERGEFORMAT ">
          <w:r w:rsidR="00176653">
            <w:rPr>
              <w:noProof/>
            </w:rPr>
            <w:t>2</w:t>
          </w:r>
        </w:fldSimple>
      </w:p>
    </w:sdtContent>
  </w:sdt>
  <w:p w:rsidR="00BD27E3" w:rsidRDefault="00BD27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E3" w:rsidRDefault="00BD27E3">
      <w:pPr>
        <w:spacing w:line="240" w:lineRule="auto"/>
      </w:pPr>
      <w:r>
        <w:separator/>
      </w:r>
    </w:p>
  </w:footnote>
  <w:footnote w:type="continuationSeparator" w:id="0">
    <w:p w:rsidR="00BD27E3" w:rsidRDefault="00BD27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E3" w:rsidRDefault="00BD27E3">
    <w:pPr>
      <w:pStyle w:val="Koptekst"/>
    </w:pPr>
    <w:r>
      <w:rPr>
        <w:noProof/>
      </w:rPr>
      <w:drawing>
        <wp:anchor distT="0" distB="0" distL="114300" distR="114300" simplePos="0" relativeHeight="251657728" behindDoc="1" locked="0" layoutInCell="1" allowOverlap="1">
          <wp:simplePos x="0" y="0"/>
          <wp:positionH relativeFrom="page">
            <wp:posOffset>3780790</wp:posOffset>
          </wp:positionH>
          <wp:positionV relativeFrom="page">
            <wp:posOffset>144145</wp:posOffset>
          </wp:positionV>
          <wp:extent cx="2580005" cy="1077595"/>
          <wp:effectExtent l="19050" t="0" r="0" b="0"/>
          <wp:wrapNone/>
          <wp:docPr id="9" name="Afbeelding 9"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261"/>
    <w:multiLevelType w:val="hybridMultilevel"/>
    <w:tmpl w:val="8742501C"/>
    <w:lvl w:ilvl="0" w:tplc="979231A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67753F"/>
    <w:multiLevelType w:val="hybridMultilevel"/>
    <w:tmpl w:val="BB82E28E"/>
    <w:lvl w:ilvl="0" w:tplc="0413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21359"/>
    <w:multiLevelType w:val="hybridMultilevel"/>
    <w:tmpl w:val="E5929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183364"/>
    <w:multiLevelType w:val="hybridMultilevel"/>
    <w:tmpl w:val="B840ED4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83C231C"/>
    <w:multiLevelType w:val="hybridMultilevel"/>
    <w:tmpl w:val="5FA48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E64D0A"/>
    <w:multiLevelType w:val="multilevel"/>
    <w:tmpl w:val="5D784AD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BF73349"/>
    <w:multiLevelType w:val="hybridMultilevel"/>
    <w:tmpl w:val="11424FF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0D9657D0"/>
    <w:multiLevelType w:val="hybridMultilevel"/>
    <w:tmpl w:val="FBE62C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DA77B5"/>
    <w:multiLevelType w:val="multilevel"/>
    <w:tmpl w:val="FEE89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6F14DF8"/>
    <w:multiLevelType w:val="hybridMultilevel"/>
    <w:tmpl w:val="FEA46524"/>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8843D01"/>
    <w:multiLevelType w:val="hybridMultilevel"/>
    <w:tmpl w:val="F1E68A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A5D06FF"/>
    <w:multiLevelType w:val="hybridMultilevel"/>
    <w:tmpl w:val="34DAFB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1DFA24A8"/>
    <w:multiLevelType w:val="hybridMultilevel"/>
    <w:tmpl w:val="C61A5A3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3873BC2"/>
    <w:multiLevelType w:val="multilevel"/>
    <w:tmpl w:val="339653A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47C60FC"/>
    <w:multiLevelType w:val="hybridMultilevel"/>
    <w:tmpl w:val="15C45CA2"/>
    <w:lvl w:ilvl="0" w:tplc="04130001">
      <w:start w:val="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86C0217"/>
    <w:multiLevelType w:val="multilevel"/>
    <w:tmpl w:val="1C4E2D2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991D29"/>
    <w:multiLevelType w:val="hybridMultilevel"/>
    <w:tmpl w:val="C5EA5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8AE43C8"/>
    <w:multiLevelType w:val="hybridMultilevel"/>
    <w:tmpl w:val="5734F826"/>
    <w:lvl w:ilvl="0" w:tplc="1CBE19AC">
      <w:start w:val="1"/>
      <w:numFmt w:val="decimal"/>
      <w:pStyle w:val="Nummering1"/>
      <w:lvlText w:val="%1."/>
      <w:lvlJc w:val="left"/>
      <w:pPr>
        <w:tabs>
          <w:tab w:val="num" w:pos="431"/>
        </w:tabs>
        <w:ind w:left="431" w:hanging="43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2FDC5314"/>
    <w:multiLevelType w:val="hybridMultilevel"/>
    <w:tmpl w:val="D8606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4A5675"/>
    <w:multiLevelType w:val="multilevel"/>
    <w:tmpl w:val="06D214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0E45BB3"/>
    <w:multiLevelType w:val="hybridMultilevel"/>
    <w:tmpl w:val="7C0A29A2"/>
    <w:lvl w:ilvl="0" w:tplc="1166E68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46C54B8"/>
    <w:multiLevelType w:val="multilevel"/>
    <w:tmpl w:val="A8A2BE3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8BC3D45"/>
    <w:multiLevelType w:val="hybridMultilevel"/>
    <w:tmpl w:val="67EEAC36"/>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3D5766DA"/>
    <w:multiLevelType w:val="hybridMultilevel"/>
    <w:tmpl w:val="E006FE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BDB6283"/>
    <w:multiLevelType w:val="hybridMultilevel"/>
    <w:tmpl w:val="E550A932"/>
    <w:lvl w:ilvl="0" w:tplc="B5585FE0">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25">
    <w:nsid w:val="4C3C551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25C524D"/>
    <w:multiLevelType w:val="multilevel"/>
    <w:tmpl w:val="591E68A6"/>
    <w:lvl w:ilvl="0">
      <w:start w:val="1"/>
      <w:numFmt w:val="decimal"/>
      <w:lvlText w:val="%1"/>
      <w:lvlJc w:val="right"/>
      <w:pPr>
        <w:tabs>
          <w:tab w:val="num" w:pos="227"/>
        </w:tabs>
        <w:ind w:left="227" w:hanging="227"/>
      </w:pPr>
    </w:lvl>
    <w:lvl w:ilvl="1">
      <w:start w:val="1"/>
      <w:numFmt w:val="lowerLetter"/>
      <w:lvlText w:val="%2"/>
      <w:lvlJc w:val="right"/>
      <w:pPr>
        <w:tabs>
          <w:tab w:val="num" w:pos="227"/>
        </w:tabs>
        <w:ind w:left="227" w:hanging="227"/>
      </w:pPr>
    </w:lvl>
    <w:lvl w:ilvl="2">
      <w:start w:val="1"/>
      <w:numFmt w:val="bullet"/>
      <w:suff w:val="space"/>
      <w:lvlText w:val=""/>
      <w:lvlJc w:val="left"/>
      <w:pPr>
        <w:ind w:left="227" w:firstLine="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60"/>
        </w:tabs>
        <w:ind w:left="227" w:hanging="227"/>
      </w:pPr>
    </w:lvl>
  </w:abstractNum>
  <w:abstractNum w:abstractNumId="27">
    <w:nsid w:val="530A6A19"/>
    <w:multiLevelType w:val="hybridMultilevel"/>
    <w:tmpl w:val="E5A21F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5BD7E2F"/>
    <w:multiLevelType w:val="multilevel"/>
    <w:tmpl w:val="FEE89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0326CC"/>
    <w:multiLevelType w:val="hybridMultilevel"/>
    <w:tmpl w:val="4B72B106"/>
    <w:lvl w:ilvl="0" w:tplc="E04EB042">
      <w:start w:val="1"/>
      <w:numFmt w:val="bullet"/>
      <w:lvlText w:val=""/>
      <w:lvlJc w:val="left"/>
      <w:pPr>
        <w:tabs>
          <w:tab w:val="num" w:pos="360"/>
        </w:tabs>
        <w:ind w:left="360" w:hanging="360"/>
      </w:pPr>
      <w:rPr>
        <w:rFonts w:ascii="Wingdings" w:hAnsi="Wingdings" w:hint="default"/>
      </w:rPr>
    </w:lvl>
    <w:lvl w:ilvl="1" w:tplc="3F4C9E0E">
      <w:start w:val="1"/>
      <w:numFmt w:val="bullet"/>
      <w:lvlText w:val=""/>
      <w:lvlJc w:val="left"/>
      <w:pPr>
        <w:tabs>
          <w:tab w:val="num" w:pos="1080"/>
        </w:tabs>
        <w:ind w:left="1080" w:hanging="360"/>
      </w:pPr>
      <w:rPr>
        <w:rFonts w:ascii="Wingdings" w:hAnsi="Wingdings" w:hint="default"/>
      </w:rPr>
    </w:lvl>
    <w:lvl w:ilvl="2" w:tplc="F8E4F8CA" w:tentative="1">
      <w:start w:val="1"/>
      <w:numFmt w:val="bullet"/>
      <w:lvlText w:val=""/>
      <w:lvlJc w:val="left"/>
      <w:pPr>
        <w:tabs>
          <w:tab w:val="num" w:pos="1800"/>
        </w:tabs>
        <w:ind w:left="1800" w:hanging="360"/>
      </w:pPr>
      <w:rPr>
        <w:rFonts w:ascii="Wingdings" w:hAnsi="Wingdings" w:hint="default"/>
      </w:rPr>
    </w:lvl>
    <w:lvl w:ilvl="3" w:tplc="076AB610" w:tentative="1">
      <w:start w:val="1"/>
      <w:numFmt w:val="bullet"/>
      <w:lvlText w:val=""/>
      <w:lvlJc w:val="left"/>
      <w:pPr>
        <w:tabs>
          <w:tab w:val="num" w:pos="2520"/>
        </w:tabs>
        <w:ind w:left="2520" w:hanging="360"/>
      </w:pPr>
      <w:rPr>
        <w:rFonts w:ascii="Wingdings" w:hAnsi="Wingdings" w:hint="default"/>
      </w:rPr>
    </w:lvl>
    <w:lvl w:ilvl="4" w:tplc="12686E86" w:tentative="1">
      <w:start w:val="1"/>
      <w:numFmt w:val="bullet"/>
      <w:lvlText w:val=""/>
      <w:lvlJc w:val="left"/>
      <w:pPr>
        <w:tabs>
          <w:tab w:val="num" w:pos="3240"/>
        </w:tabs>
        <w:ind w:left="3240" w:hanging="360"/>
      </w:pPr>
      <w:rPr>
        <w:rFonts w:ascii="Wingdings" w:hAnsi="Wingdings" w:hint="default"/>
      </w:rPr>
    </w:lvl>
    <w:lvl w:ilvl="5" w:tplc="80CEC586" w:tentative="1">
      <w:start w:val="1"/>
      <w:numFmt w:val="bullet"/>
      <w:lvlText w:val=""/>
      <w:lvlJc w:val="left"/>
      <w:pPr>
        <w:tabs>
          <w:tab w:val="num" w:pos="3960"/>
        </w:tabs>
        <w:ind w:left="3960" w:hanging="360"/>
      </w:pPr>
      <w:rPr>
        <w:rFonts w:ascii="Wingdings" w:hAnsi="Wingdings" w:hint="default"/>
      </w:rPr>
    </w:lvl>
    <w:lvl w:ilvl="6" w:tplc="1E0274F6" w:tentative="1">
      <w:start w:val="1"/>
      <w:numFmt w:val="bullet"/>
      <w:lvlText w:val=""/>
      <w:lvlJc w:val="left"/>
      <w:pPr>
        <w:tabs>
          <w:tab w:val="num" w:pos="4680"/>
        </w:tabs>
        <w:ind w:left="4680" w:hanging="360"/>
      </w:pPr>
      <w:rPr>
        <w:rFonts w:ascii="Wingdings" w:hAnsi="Wingdings" w:hint="default"/>
      </w:rPr>
    </w:lvl>
    <w:lvl w:ilvl="7" w:tplc="6D5E1964" w:tentative="1">
      <w:start w:val="1"/>
      <w:numFmt w:val="bullet"/>
      <w:lvlText w:val=""/>
      <w:lvlJc w:val="left"/>
      <w:pPr>
        <w:tabs>
          <w:tab w:val="num" w:pos="5400"/>
        </w:tabs>
        <w:ind w:left="5400" w:hanging="360"/>
      </w:pPr>
      <w:rPr>
        <w:rFonts w:ascii="Wingdings" w:hAnsi="Wingdings" w:hint="default"/>
      </w:rPr>
    </w:lvl>
    <w:lvl w:ilvl="8" w:tplc="54B874EC" w:tentative="1">
      <w:start w:val="1"/>
      <w:numFmt w:val="bullet"/>
      <w:lvlText w:val=""/>
      <w:lvlJc w:val="left"/>
      <w:pPr>
        <w:tabs>
          <w:tab w:val="num" w:pos="6120"/>
        </w:tabs>
        <w:ind w:left="6120" w:hanging="360"/>
      </w:pPr>
      <w:rPr>
        <w:rFonts w:ascii="Wingdings" w:hAnsi="Wingdings" w:hint="default"/>
      </w:rPr>
    </w:lvl>
  </w:abstractNum>
  <w:abstractNum w:abstractNumId="30">
    <w:nsid w:val="5A4004ED"/>
    <w:multiLevelType w:val="hybridMultilevel"/>
    <w:tmpl w:val="45067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BC14F6C"/>
    <w:multiLevelType w:val="hybridMultilevel"/>
    <w:tmpl w:val="436E5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C212ABB"/>
    <w:multiLevelType w:val="hybridMultilevel"/>
    <w:tmpl w:val="C83C37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7334EE0"/>
    <w:multiLevelType w:val="hybridMultilevel"/>
    <w:tmpl w:val="76BA51DA"/>
    <w:lvl w:ilvl="0" w:tplc="7F204C4C">
      <w:start w:val="1"/>
      <w:numFmt w:val="bullet"/>
      <w:lvlText w:val="•"/>
      <w:lvlJc w:val="left"/>
      <w:pPr>
        <w:tabs>
          <w:tab w:val="num" w:pos="720"/>
        </w:tabs>
        <w:ind w:left="720" w:hanging="360"/>
      </w:pPr>
      <w:rPr>
        <w:rFonts w:ascii="Arial" w:hAnsi="Arial" w:hint="default"/>
      </w:rPr>
    </w:lvl>
    <w:lvl w:ilvl="1" w:tplc="95C062BE" w:tentative="1">
      <w:start w:val="1"/>
      <w:numFmt w:val="bullet"/>
      <w:lvlText w:val="•"/>
      <w:lvlJc w:val="left"/>
      <w:pPr>
        <w:tabs>
          <w:tab w:val="num" w:pos="1440"/>
        </w:tabs>
        <w:ind w:left="1440" w:hanging="360"/>
      </w:pPr>
      <w:rPr>
        <w:rFonts w:ascii="Arial" w:hAnsi="Arial" w:hint="default"/>
      </w:rPr>
    </w:lvl>
    <w:lvl w:ilvl="2" w:tplc="9FD2D3D8" w:tentative="1">
      <w:start w:val="1"/>
      <w:numFmt w:val="bullet"/>
      <w:lvlText w:val="•"/>
      <w:lvlJc w:val="left"/>
      <w:pPr>
        <w:tabs>
          <w:tab w:val="num" w:pos="2160"/>
        </w:tabs>
        <w:ind w:left="2160" w:hanging="360"/>
      </w:pPr>
      <w:rPr>
        <w:rFonts w:ascii="Arial" w:hAnsi="Arial" w:hint="default"/>
      </w:rPr>
    </w:lvl>
    <w:lvl w:ilvl="3" w:tplc="B0CAC07A" w:tentative="1">
      <w:start w:val="1"/>
      <w:numFmt w:val="bullet"/>
      <w:lvlText w:val="•"/>
      <w:lvlJc w:val="left"/>
      <w:pPr>
        <w:tabs>
          <w:tab w:val="num" w:pos="2880"/>
        </w:tabs>
        <w:ind w:left="2880" w:hanging="360"/>
      </w:pPr>
      <w:rPr>
        <w:rFonts w:ascii="Arial" w:hAnsi="Arial" w:hint="default"/>
      </w:rPr>
    </w:lvl>
    <w:lvl w:ilvl="4" w:tplc="941EE8C4" w:tentative="1">
      <w:start w:val="1"/>
      <w:numFmt w:val="bullet"/>
      <w:lvlText w:val="•"/>
      <w:lvlJc w:val="left"/>
      <w:pPr>
        <w:tabs>
          <w:tab w:val="num" w:pos="3600"/>
        </w:tabs>
        <w:ind w:left="3600" w:hanging="360"/>
      </w:pPr>
      <w:rPr>
        <w:rFonts w:ascii="Arial" w:hAnsi="Arial" w:hint="default"/>
      </w:rPr>
    </w:lvl>
    <w:lvl w:ilvl="5" w:tplc="5C56E864" w:tentative="1">
      <w:start w:val="1"/>
      <w:numFmt w:val="bullet"/>
      <w:lvlText w:val="•"/>
      <w:lvlJc w:val="left"/>
      <w:pPr>
        <w:tabs>
          <w:tab w:val="num" w:pos="4320"/>
        </w:tabs>
        <w:ind w:left="4320" w:hanging="360"/>
      </w:pPr>
      <w:rPr>
        <w:rFonts w:ascii="Arial" w:hAnsi="Arial" w:hint="default"/>
      </w:rPr>
    </w:lvl>
    <w:lvl w:ilvl="6" w:tplc="E9C0FC22" w:tentative="1">
      <w:start w:val="1"/>
      <w:numFmt w:val="bullet"/>
      <w:lvlText w:val="•"/>
      <w:lvlJc w:val="left"/>
      <w:pPr>
        <w:tabs>
          <w:tab w:val="num" w:pos="5040"/>
        </w:tabs>
        <w:ind w:left="5040" w:hanging="360"/>
      </w:pPr>
      <w:rPr>
        <w:rFonts w:ascii="Arial" w:hAnsi="Arial" w:hint="default"/>
      </w:rPr>
    </w:lvl>
    <w:lvl w:ilvl="7" w:tplc="5EF2F4A8" w:tentative="1">
      <w:start w:val="1"/>
      <w:numFmt w:val="bullet"/>
      <w:lvlText w:val="•"/>
      <w:lvlJc w:val="left"/>
      <w:pPr>
        <w:tabs>
          <w:tab w:val="num" w:pos="5760"/>
        </w:tabs>
        <w:ind w:left="5760" w:hanging="360"/>
      </w:pPr>
      <w:rPr>
        <w:rFonts w:ascii="Arial" w:hAnsi="Arial" w:hint="default"/>
      </w:rPr>
    </w:lvl>
    <w:lvl w:ilvl="8" w:tplc="58087C9A" w:tentative="1">
      <w:start w:val="1"/>
      <w:numFmt w:val="bullet"/>
      <w:lvlText w:val="•"/>
      <w:lvlJc w:val="left"/>
      <w:pPr>
        <w:tabs>
          <w:tab w:val="num" w:pos="6480"/>
        </w:tabs>
        <w:ind w:left="6480" w:hanging="360"/>
      </w:pPr>
      <w:rPr>
        <w:rFonts w:ascii="Arial" w:hAnsi="Arial" w:hint="default"/>
      </w:rPr>
    </w:lvl>
  </w:abstractNum>
  <w:abstractNum w:abstractNumId="34">
    <w:nsid w:val="709F429C"/>
    <w:multiLevelType w:val="hybridMultilevel"/>
    <w:tmpl w:val="8F02D890"/>
    <w:lvl w:ilvl="0" w:tplc="FA70571E">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AA01185"/>
    <w:multiLevelType w:val="hybridMultilevel"/>
    <w:tmpl w:val="D1CC01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8"/>
  </w:num>
  <w:num w:numId="3">
    <w:abstractNumId w:val="8"/>
  </w:num>
  <w:num w:numId="4">
    <w:abstractNumId w:val="13"/>
  </w:num>
  <w:num w:numId="5">
    <w:abstractNumId w:val="26"/>
  </w:num>
  <w:num w:numId="6">
    <w:abstractNumId w:val="26"/>
  </w:num>
  <w:num w:numId="7">
    <w:abstractNumId w:val="26"/>
  </w:num>
  <w:num w:numId="8">
    <w:abstractNumId w:val="8"/>
  </w:num>
  <w:num w:numId="9">
    <w:abstractNumId w:val="8"/>
  </w:num>
  <w:num w:numId="10">
    <w:abstractNumId w:val="8"/>
  </w:num>
  <w:num w:numId="11">
    <w:abstractNumId w:val="20"/>
  </w:num>
  <w:num w:numId="12">
    <w:abstractNumId w:val="8"/>
  </w:num>
  <w:num w:numId="13">
    <w:abstractNumId w:val="20"/>
  </w:num>
  <w:num w:numId="14">
    <w:abstractNumId w:val="28"/>
  </w:num>
  <w:num w:numId="15">
    <w:abstractNumId w:val="25"/>
  </w:num>
  <w:num w:numId="16">
    <w:abstractNumId w:val="17"/>
  </w:num>
  <w:num w:numId="17">
    <w:abstractNumId w:val="15"/>
  </w:num>
  <w:num w:numId="18">
    <w:abstractNumId w:val="6"/>
  </w:num>
  <w:num w:numId="19">
    <w:abstractNumId w:val="1"/>
  </w:num>
  <w:num w:numId="20">
    <w:abstractNumId w:val="27"/>
  </w:num>
  <w:num w:numId="21">
    <w:abstractNumId w:val="7"/>
  </w:num>
  <w:num w:numId="22">
    <w:abstractNumId w:val="3"/>
  </w:num>
  <w:num w:numId="23">
    <w:abstractNumId w:val="33"/>
  </w:num>
  <w:num w:numId="24">
    <w:abstractNumId w:val="11"/>
  </w:num>
  <w:num w:numId="25">
    <w:abstractNumId w:val="14"/>
  </w:num>
  <w:num w:numId="26">
    <w:abstractNumId w:val="34"/>
  </w:num>
  <w:num w:numId="27">
    <w:abstractNumId w:val="29"/>
  </w:num>
  <w:num w:numId="28">
    <w:abstractNumId w:val="16"/>
  </w:num>
  <w:num w:numId="29">
    <w:abstractNumId w:val="22"/>
  </w:num>
  <w:num w:numId="30">
    <w:abstractNumId w:val="24"/>
  </w:num>
  <w:num w:numId="31">
    <w:abstractNumId w:val="35"/>
  </w:num>
  <w:num w:numId="32">
    <w:abstractNumId w:val="23"/>
  </w:num>
  <w:num w:numId="33">
    <w:abstractNumId w:val="32"/>
  </w:num>
  <w:num w:numId="34">
    <w:abstractNumId w:val="31"/>
  </w:num>
  <w:num w:numId="35">
    <w:abstractNumId w:val="4"/>
  </w:num>
  <w:num w:numId="36">
    <w:abstractNumId w:val="30"/>
  </w:num>
  <w:num w:numId="37">
    <w:abstractNumId w:val="2"/>
  </w:num>
  <w:num w:numId="38">
    <w:abstractNumId w:val="18"/>
  </w:num>
  <w:num w:numId="39">
    <w:abstractNumId w:val="9"/>
  </w:num>
  <w:num w:numId="40">
    <w:abstractNumId w:val="0"/>
  </w:num>
  <w:num w:numId="41">
    <w:abstractNumId w:val="12"/>
  </w:num>
  <w:num w:numId="42">
    <w:abstractNumId w:val="10"/>
  </w:num>
  <w:num w:numId="43">
    <w:abstractNumId w:val="19"/>
  </w:num>
  <w:num w:numId="44">
    <w:abstractNumId w:val="21"/>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55297"/>
  </w:hdrShapeDefaults>
  <w:footnotePr>
    <w:footnote w:id="-1"/>
    <w:footnote w:id="0"/>
  </w:footnotePr>
  <w:endnotePr>
    <w:endnote w:id="-1"/>
    <w:endnote w:id="0"/>
  </w:endnotePr>
  <w:compat/>
  <w:rsids>
    <w:rsidRoot w:val="004F56E5"/>
    <w:rsid w:val="0001624C"/>
    <w:rsid w:val="00020203"/>
    <w:rsid w:val="00022858"/>
    <w:rsid w:val="0005442B"/>
    <w:rsid w:val="0006031C"/>
    <w:rsid w:val="000714B6"/>
    <w:rsid w:val="000759B9"/>
    <w:rsid w:val="00076729"/>
    <w:rsid w:val="00080A59"/>
    <w:rsid w:val="00083A74"/>
    <w:rsid w:val="000B17B7"/>
    <w:rsid w:val="000E2F33"/>
    <w:rsid w:val="000F295C"/>
    <w:rsid w:val="000F6994"/>
    <w:rsid w:val="00105E82"/>
    <w:rsid w:val="0012707A"/>
    <w:rsid w:val="00135848"/>
    <w:rsid w:val="00145C0F"/>
    <w:rsid w:val="00160381"/>
    <w:rsid w:val="00176653"/>
    <w:rsid w:val="0018192D"/>
    <w:rsid w:val="001819A6"/>
    <w:rsid w:val="001A2B90"/>
    <w:rsid w:val="001B11B9"/>
    <w:rsid w:val="001C0C70"/>
    <w:rsid w:val="001C4DE2"/>
    <w:rsid w:val="001E3570"/>
    <w:rsid w:val="00202029"/>
    <w:rsid w:val="00217650"/>
    <w:rsid w:val="00217B7A"/>
    <w:rsid w:val="00230CED"/>
    <w:rsid w:val="002562CC"/>
    <w:rsid w:val="00290CD2"/>
    <w:rsid w:val="002A1219"/>
    <w:rsid w:val="002A7F84"/>
    <w:rsid w:val="002C0246"/>
    <w:rsid w:val="002E7BF5"/>
    <w:rsid w:val="002F0074"/>
    <w:rsid w:val="00314668"/>
    <w:rsid w:val="003165D7"/>
    <w:rsid w:val="00317C72"/>
    <w:rsid w:val="00365972"/>
    <w:rsid w:val="00365FF2"/>
    <w:rsid w:val="00367A1A"/>
    <w:rsid w:val="00373D67"/>
    <w:rsid w:val="003A1A89"/>
    <w:rsid w:val="003A3EC5"/>
    <w:rsid w:val="003C70F6"/>
    <w:rsid w:val="0040354A"/>
    <w:rsid w:val="00426F53"/>
    <w:rsid w:val="0048624C"/>
    <w:rsid w:val="004915D8"/>
    <w:rsid w:val="004B3463"/>
    <w:rsid w:val="004D7465"/>
    <w:rsid w:val="004F56E5"/>
    <w:rsid w:val="005304B7"/>
    <w:rsid w:val="00546536"/>
    <w:rsid w:val="00557BD5"/>
    <w:rsid w:val="005C757E"/>
    <w:rsid w:val="006027C8"/>
    <w:rsid w:val="0060328B"/>
    <w:rsid w:val="006127AB"/>
    <w:rsid w:val="00637ABC"/>
    <w:rsid w:val="00657910"/>
    <w:rsid w:val="00691ABB"/>
    <w:rsid w:val="006A20B5"/>
    <w:rsid w:val="006B6E29"/>
    <w:rsid w:val="006C045A"/>
    <w:rsid w:val="006C0B22"/>
    <w:rsid w:val="006D57C3"/>
    <w:rsid w:val="006F4640"/>
    <w:rsid w:val="00740A1C"/>
    <w:rsid w:val="00741206"/>
    <w:rsid w:val="00755881"/>
    <w:rsid w:val="00762D17"/>
    <w:rsid w:val="007F764E"/>
    <w:rsid w:val="00820604"/>
    <w:rsid w:val="00823D16"/>
    <w:rsid w:val="00830F6D"/>
    <w:rsid w:val="008415A8"/>
    <w:rsid w:val="00860737"/>
    <w:rsid w:val="008675BD"/>
    <w:rsid w:val="00871AFC"/>
    <w:rsid w:val="008A2801"/>
    <w:rsid w:val="008A6982"/>
    <w:rsid w:val="008D7540"/>
    <w:rsid w:val="008E6F72"/>
    <w:rsid w:val="008F17A7"/>
    <w:rsid w:val="00914BC0"/>
    <w:rsid w:val="00942A66"/>
    <w:rsid w:val="0095288E"/>
    <w:rsid w:val="009542ED"/>
    <w:rsid w:val="009651EB"/>
    <w:rsid w:val="00967A55"/>
    <w:rsid w:val="009725BE"/>
    <w:rsid w:val="00992712"/>
    <w:rsid w:val="009A2F16"/>
    <w:rsid w:val="009A5D7B"/>
    <w:rsid w:val="009B5B13"/>
    <w:rsid w:val="009C3EA5"/>
    <w:rsid w:val="009D5BFF"/>
    <w:rsid w:val="009E22F9"/>
    <w:rsid w:val="009F7A0E"/>
    <w:rsid w:val="00A01A89"/>
    <w:rsid w:val="00A16EA1"/>
    <w:rsid w:val="00A70814"/>
    <w:rsid w:val="00AA47EC"/>
    <w:rsid w:val="00AB7884"/>
    <w:rsid w:val="00AC0200"/>
    <w:rsid w:val="00AC0F7B"/>
    <w:rsid w:val="00AF00A4"/>
    <w:rsid w:val="00AF04C7"/>
    <w:rsid w:val="00B15653"/>
    <w:rsid w:val="00B36050"/>
    <w:rsid w:val="00B43AE8"/>
    <w:rsid w:val="00BB2113"/>
    <w:rsid w:val="00BD27E3"/>
    <w:rsid w:val="00BF1841"/>
    <w:rsid w:val="00BF35D4"/>
    <w:rsid w:val="00C143E2"/>
    <w:rsid w:val="00C213D7"/>
    <w:rsid w:val="00C2149F"/>
    <w:rsid w:val="00C21CC6"/>
    <w:rsid w:val="00C3217B"/>
    <w:rsid w:val="00C44A8C"/>
    <w:rsid w:val="00C466CE"/>
    <w:rsid w:val="00C5219F"/>
    <w:rsid w:val="00C62A44"/>
    <w:rsid w:val="00C70C50"/>
    <w:rsid w:val="00C82852"/>
    <w:rsid w:val="00C914C9"/>
    <w:rsid w:val="00C94753"/>
    <w:rsid w:val="00CA2BDD"/>
    <w:rsid w:val="00CC5AC9"/>
    <w:rsid w:val="00D31750"/>
    <w:rsid w:val="00D43DF9"/>
    <w:rsid w:val="00D50141"/>
    <w:rsid w:val="00D6105D"/>
    <w:rsid w:val="00D67D1F"/>
    <w:rsid w:val="00D7486A"/>
    <w:rsid w:val="00D84043"/>
    <w:rsid w:val="00D87215"/>
    <w:rsid w:val="00DA7BA0"/>
    <w:rsid w:val="00DC0C66"/>
    <w:rsid w:val="00E10F47"/>
    <w:rsid w:val="00E165E3"/>
    <w:rsid w:val="00E16FD2"/>
    <w:rsid w:val="00E74FB6"/>
    <w:rsid w:val="00E87623"/>
    <w:rsid w:val="00EA44D9"/>
    <w:rsid w:val="00EA7494"/>
    <w:rsid w:val="00EE0189"/>
    <w:rsid w:val="00EE6D71"/>
    <w:rsid w:val="00F1528B"/>
    <w:rsid w:val="00F32ECF"/>
    <w:rsid w:val="00F36266"/>
    <w:rsid w:val="00F523D5"/>
    <w:rsid w:val="00F57B47"/>
    <w:rsid w:val="00F73DF1"/>
    <w:rsid w:val="00FA2C0D"/>
    <w:rsid w:val="00FB237F"/>
    <w:rsid w:val="00FC2D89"/>
    <w:rsid w:val="00FD77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4DE2"/>
    <w:pPr>
      <w:spacing w:line="280" w:lineRule="atLeast"/>
    </w:pPr>
    <w:rPr>
      <w:rFonts w:ascii="Verdana" w:hAnsi="Verdana"/>
    </w:rPr>
  </w:style>
  <w:style w:type="paragraph" w:styleId="Kop1">
    <w:name w:val="heading 1"/>
    <w:basedOn w:val="Standaard"/>
    <w:next w:val="Standaard"/>
    <w:qFormat/>
    <w:rsid w:val="001C4DE2"/>
    <w:pPr>
      <w:keepNext/>
      <w:tabs>
        <w:tab w:val="left" w:pos="862"/>
        <w:tab w:val="left" w:pos="1293"/>
      </w:tabs>
      <w:spacing w:before="280" w:after="60"/>
      <w:outlineLvl w:val="0"/>
    </w:pPr>
    <w:rPr>
      <w:b/>
    </w:rPr>
  </w:style>
  <w:style w:type="paragraph" w:styleId="Kop2">
    <w:name w:val="heading 2"/>
    <w:basedOn w:val="Standaard"/>
    <w:next w:val="Standaard"/>
    <w:qFormat/>
    <w:rsid w:val="001C4DE2"/>
    <w:pPr>
      <w:keepNext/>
      <w:tabs>
        <w:tab w:val="left" w:pos="862"/>
        <w:tab w:val="left" w:pos="1293"/>
      </w:tabs>
      <w:spacing w:before="280" w:after="30"/>
      <w:outlineLvl w:val="1"/>
    </w:pPr>
    <w:rPr>
      <w:b/>
      <w:i/>
    </w:rPr>
  </w:style>
  <w:style w:type="paragraph" w:styleId="Kop3">
    <w:name w:val="heading 3"/>
    <w:basedOn w:val="Standaard"/>
    <w:next w:val="Standaard"/>
    <w:qFormat/>
    <w:rsid w:val="001C4DE2"/>
    <w:pPr>
      <w:keepNext/>
      <w:tabs>
        <w:tab w:val="left" w:pos="862"/>
        <w:tab w:val="left" w:pos="1293"/>
      </w:tabs>
      <w:spacing w:before="280" w:after="30"/>
      <w:outlineLvl w:val="2"/>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1C4DE2"/>
    <w:rPr>
      <w:rFonts w:ascii="Verdana" w:hAnsi="Verdana" w:cs="Tahoma"/>
      <w:sz w:val="16"/>
      <w:lang w:val="nl-NL" w:eastAsia="nl-NL" w:bidi="ar-SA"/>
    </w:rPr>
  </w:style>
  <w:style w:type="paragraph" w:customStyle="1" w:styleId="Standaard8regel14">
    <w:name w:val="Standaard8regel14"/>
    <w:basedOn w:val="Standaard"/>
    <w:link w:val="Standaard8regel14Char"/>
    <w:rsid w:val="001C4DE2"/>
    <w:rPr>
      <w:rFonts w:cs="Tahoma"/>
      <w:sz w:val="16"/>
    </w:rPr>
  </w:style>
  <w:style w:type="paragraph" w:styleId="Koptekst">
    <w:name w:val="header"/>
    <w:basedOn w:val="Standaard"/>
    <w:rsid w:val="001C4DE2"/>
    <w:pPr>
      <w:tabs>
        <w:tab w:val="center" w:pos="4536"/>
        <w:tab w:val="right" w:pos="9072"/>
      </w:tabs>
    </w:pPr>
  </w:style>
  <w:style w:type="paragraph" w:styleId="Voettekst">
    <w:name w:val="footer"/>
    <w:basedOn w:val="Standaard"/>
    <w:link w:val="VoettekstChar"/>
    <w:uiPriority w:val="99"/>
    <w:rsid w:val="001C4DE2"/>
    <w:pPr>
      <w:tabs>
        <w:tab w:val="center" w:pos="4536"/>
        <w:tab w:val="right" w:pos="9072"/>
      </w:tabs>
    </w:pPr>
  </w:style>
  <w:style w:type="paragraph" w:customStyle="1" w:styleId="Standaard1">
    <w:name w:val="Standaard1"/>
    <w:basedOn w:val="Standaard"/>
    <w:rsid w:val="001C4DE2"/>
    <w:pPr>
      <w:spacing w:line="240" w:lineRule="auto"/>
    </w:pPr>
    <w:rPr>
      <w:color w:val="FFFFFF"/>
      <w:sz w:val="2"/>
    </w:rPr>
  </w:style>
  <w:style w:type="paragraph" w:customStyle="1" w:styleId="Documenttitel">
    <w:name w:val="Documenttitel"/>
    <w:basedOn w:val="Koptekst"/>
    <w:rsid w:val="001C4DE2"/>
    <w:rPr>
      <w:b/>
      <w:sz w:val="28"/>
    </w:rPr>
  </w:style>
  <w:style w:type="paragraph" w:styleId="Ballontekst">
    <w:name w:val="Balloon Text"/>
    <w:basedOn w:val="Standaard"/>
    <w:semiHidden/>
    <w:rsid w:val="001C4DE2"/>
    <w:rPr>
      <w:rFonts w:ascii="Tahoma" w:hAnsi="Tahoma"/>
      <w:sz w:val="16"/>
      <w:szCs w:val="16"/>
    </w:rPr>
  </w:style>
  <w:style w:type="paragraph" w:customStyle="1" w:styleId="Standaard8regel14TAV">
    <w:name w:val="Standaard8regel14TAV"/>
    <w:basedOn w:val="Standaard"/>
    <w:rsid w:val="001C4DE2"/>
    <w:pPr>
      <w:framePr w:w="4649" w:h="1418" w:hRule="exact" w:wrap="around" w:vAnchor="page" w:hAnchor="page" w:x="1419" w:y="3687"/>
      <w:spacing w:before="60" w:after="240"/>
    </w:pPr>
    <w:rPr>
      <w:sz w:val="16"/>
    </w:rPr>
  </w:style>
  <w:style w:type="table" w:styleId="Tabelraster">
    <w:name w:val="Table Grid"/>
    <w:basedOn w:val="Standaardtabel"/>
    <w:rsid w:val="001C4DE2"/>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Punt">
    <w:name w:val="AgendaPunt"/>
    <w:basedOn w:val="Standaard"/>
    <w:next w:val="Standaard"/>
    <w:rsid w:val="001C4DE2"/>
  </w:style>
  <w:style w:type="paragraph" w:customStyle="1" w:styleId="PuntjeInspringtekst">
    <w:name w:val="PuntjeInspringtekst"/>
    <w:basedOn w:val="Standaard"/>
    <w:rsid w:val="001C4DE2"/>
    <w:pPr>
      <w:ind w:left="862"/>
    </w:pPr>
  </w:style>
  <w:style w:type="paragraph" w:customStyle="1" w:styleId="AgendaPuntSub">
    <w:name w:val="AgendaPuntSub"/>
    <w:basedOn w:val="Standaard"/>
    <w:next w:val="Standaard"/>
    <w:rsid w:val="001C4DE2"/>
  </w:style>
  <w:style w:type="paragraph" w:customStyle="1" w:styleId="Puntje">
    <w:name w:val="Puntje"/>
    <w:basedOn w:val="Kop3"/>
    <w:rsid w:val="001C4DE2"/>
    <w:pPr>
      <w:numPr>
        <w:numId w:val="13"/>
      </w:numPr>
      <w:spacing w:before="30"/>
    </w:pPr>
    <w:rPr>
      <w:i w:val="0"/>
    </w:rPr>
  </w:style>
  <w:style w:type="paragraph" w:styleId="Plattetekst">
    <w:name w:val="Body Text"/>
    <w:basedOn w:val="Standaard"/>
    <w:rsid w:val="001C4DE2"/>
    <w:pPr>
      <w:spacing w:after="120"/>
    </w:pPr>
  </w:style>
  <w:style w:type="paragraph" w:customStyle="1" w:styleId="Kopje">
    <w:name w:val="Kopje"/>
    <w:basedOn w:val="Standaard"/>
    <w:next w:val="Standaard"/>
    <w:rsid w:val="001C4DE2"/>
    <w:pPr>
      <w:keepNext/>
      <w:keepLines/>
    </w:pPr>
    <w:rPr>
      <w:b/>
    </w:rPr>
  </w:style>
  <w:style w:type="paragraph" w:customStyle="1" w:styleId="Standaard8regel14insprom">
    <w:name w:val="Standaard8regel14insprom"/>
    <w:basedOn w:val="Standaard8regel14"/>
    <w:rsid w:val="001C4DE2"/>
    <w:pPr>
      <w:tabs>
        <w:tab w:val="left" w:pos="1531"/>
      </w:tabs>
      <w:ind w:left="1531" w:hanging="1531"/>
    </w:pPr>
  </w:style>
  <w:style w:type="paragraph" w:customStyle="1" w:styleId="StandaardInspring">
    <w:name w:val="StandaardInspring"/>
    <w:basedOn w:val="Standaard"/>
    <w:rsid w:val="001C4DE2"/>
    <w:pPr>
      <w:tabs>
        <w:tab w:val="left" w:pos="862"/>
        <w:tab w:val="left" w:pos="1293"/>
      </w:tabs>
      <w:ind w:left="431"/>
    </w:pPr>
  </w:style>
  <w:style w:type="paragraph" w:customStyle="1" w:styleId="Nummering1">
    <w:name w:val="Nummering 1"/>
    <w:basedOn w:val="Standaard"/>
    <w:rsid w:val="001C4DE2"/>
    <w:pPr>
      <w:numPr>
        <w:numId w:val="16"/>
      </w:numPr>
    </w:pPr>
  </w:style>
  <w:style w:type="paragraph" w:styleId="Lijstalinea">
    <w:name w:val="List Paragraph"/>
    <w:basedOn w:val="Standaard"/>
    <w:uiPriority w:val="34"/>
    <w:qFormat/>
    <w:rsid w:val="00D31750"/>
    <w:pPr>
      <w:ind w:left="720"/>
      <w:contextualSpacing/>
    </w:pPr>
  </w:style>
  <w:style w:type="character" w:customStyle="1" w:styleId="VoettekstChar">
    <w:name w:val="Voettekst Char"/>
    <w:basedOn w:val="Standaardalinea-lettertype"/>
    <w:link w:val="Voettekst"/>
    <w:uiPriority w:val="99"/>
    <w:rsid w:val="006F4640"/>
    <w:rPr>
      <w:rFonts w:ascii="Verdana" w:hAnsi="Verdana"/>
    </w:rPr>
  </w:style>
</w:styles>
</file>

<file path=word/webSettings.xml><?xml version="1.0" encoding="utf-8"?>
<w:webSettings xmlns:r="http://schemas.openxmlformats.org/officeDocument/2006/relationships" xmlns:w="http://schemas.openxmlformats.org/wordprocessingml/2006/main">
  <w:divs>
    <w:div w:id="46415951">
      <w:bodyDiv w:val="1"/>
      <w:marLeft w:val="0"/>
      <w:marRight w:val="0"/>
      <w:marTop w:val="0"/>
      <w:marBottom w:val="0"/>
      <w:divBdr>
        <w:top w:val="none" w:sz="0" w:space="0" w:color="auto"/>
        <w:left w:val="none" w:sz="0" w:space="0" w:color="auto"/>
        <w:bottom w:val="none" w:sz="0" w:space="0" w:color="auto"/>
        <w:right w:val="none" w:sz="0" w:space="0" w:color="auto"/>
      </w:divBdr>
    </w:div>
    <w:div w:id="461267642">
      <w:bodyDiv w:val="1"/>
      <w:marLeft w:val="0"/>
      <w:marRight w:val="0"/>
      <w:marTop w:val="0"/>
      <w:marBottom w:val="0"/>
      <w:divBdr>
        <w:top w:val="none" w:sz="0" w:space="0" w:color="auto"/>
        <w:left w:val="none" w:sz="0" w:space="0" w:color="auto"/>
        <w:bottom w:val="none" w:sz="0" w:space="0" w:color="auto"/>
        <w:right w:val="none" w:sz="0" w:space="0" w:color="auto"/>
      </w:divBdr>
    </w:div>
    <w:div w:id="1958557580">
      <w:bodyDiv w:val="1"/>
      <w:marLeft w:val="0"/>
      <w:marRight w:val="0"/>
      <w:marTop w:val="0"/>
      <w:marBottom w:val="0"/>
      <w:divBdr>
        <w:top w:val="none" w:sz="0" w:space="0" w:color="auto"/>
        <w:left w:val="none" w:sz="0" w:space="0" w:color="auto"/>
        <w:bottom w:val="none" w:sz="0" w:space="0" w:color="auto"/>
        <w:right w:val="none" w:sz="0" w:space="0" w:color="auto"/>
      </w:divBdr>
      <w:divsChild>
        <w:div w:id="1324240047">
          <w:marLeft w:val="547"/>
          <w:marRight w:val="0"/>
          <w:marTop w:val="77"/>
          <w:marBottom w:val="0"/>
          <w:divBdr>
            <w:top w:val="none" w:sz="0" w:space="0" w:color="auto"/>
            <w:left w:val="none" w:sz="0" w:space="0" w:color="auto"/>
            <w:bottom w:val="none" w:sz="0" w:space="0" w:color="auto"/>
            <w:right w:val="none" w:sz="0" w:space="0" w:color="auto"/>
          </w:divBdr>
        </w:div>
        <w:div w:id="2003122962">
          <w:marLeft w:val="547"/>
          <w:marRight w:val="0"/>
          <w:marTop w:val="77"/>
          <w:marBottom w:val="0"/>
          <w:divBdr>
            <w:top w:val="none" w:sz="0" w:space="0" w:color="auto"/>
            <w:left w:val="none" w:sz="0" w:space="0" w:color="auto"/>
            <w:bottom w:val="none" w:sz="0" w:space="0" w:color="auto"/>
            <w:right w:val="none" w:sz="0" w:space="0" w:color="auto"/>
          </w:divBdr>
        </w:div>
        <w:div w:id="124421556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1587</Words>
  <Characters>8446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Voorlegger</vt:lpstr>
    </vt:vector>
  </TitlesOfParts>
  <Company>Advisie Automatisering</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Voorlegger</dc:title>
  <dc:subject/>
  <dc:creator>cduisters</dc:creator>
  <cp:keywords/>
  <cp:lastModifiedBy>fmul</cp:lastModifiedBy>
  <cp:revision>19</cp:revision>
  <cp:lastPrinted>2011-06-09T07:31:00Z</cp:lastPrinted>
  <dcterms:created xsi:type="dcterms:W3CDTF">2011-06-08T13:30:00Z</dcterms:created>
  <dcterms:modified xsi:type="dcterms:W3CDTF">2011-06-09T08:41:00Z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Voorlegger</vt:lpwstr>
  </property>
  <property fmtid="{D5CDD505-2E9C-101B-9397-08002B2CF9AE}" pid="3" name="Naam">
    <vt:lpwstr>mw. C. (Cindy) Duisters</vt:lpwstr>
  </property>
  <property fmtid="{D5CDD505-2E9C-101B-9397-08002B2CF9AE}" pid="4" name="Functie">
    <vt:lpwstr>Secretaresse</vt:lpwstr>
  </property>
  <property fmtid="{D5CDD505-2E9C-101B-9397-08002B2CF9AE}" pid="5" name="Initialen">
    <vt:lpwstr>CDU</vt:lpwstr>
  </property>
  <property fmtid="{D5CDD505-2E9C-101B-9397-08002B2CF9AE}" pid="6" name="Nummer">
    <vt:lpwstr>0790</vt:lpwstr>
  </property>
  <property fmtid="{D5CDD505-2E9C-101B-9397-08002B2CF9AE}" pid="7" name="Kenmerk">
    <vt:lpwstr>Vo220709CDU0790</vt:lpwstr>
  </property>
  <property fmtid="{D5CDD505-2E9C-101B-9397-08002B2CF9AE}" pid="8" name="Onderwerp">
    <vt:lpwstr>Bestuur VGN</vt:lpwstr>
  </property>
  <property fmtid="{D5CDD505-2E9C-101B-9397-08002B2CF9AE}" pid="9" name="Doc.Datum">
    <vt:filetime>1899-12-29T22:00:00Z</vt:filetime>
  </property>
  <property fmtid="{D5CDD505-2E9C-101B-9397-08002B2CF9AE}" pid="10" name="AanmaakDatum">
    <vt:filetime>2009-07-21T22:00:00Z</vt:filetime>
  </property>
  <property fmtid="{D5CDD505-2E9C-101B-9397-08002B2CF9AE}" pid="11" name="Eigenafdeling">
    <vt:lpwstr>S&amp;F</vt:lpwstr>
  </property>
  <property fmtid="{D5CDD505-2E9C-101B-9397-08002B2CF9AE}" pid="12" name="_AdHocReviewCycleID">
    <vt:i4>746817440</vt:i4>
  </property>
  <property fmtid="{D5CDD505-2E9C-101B-9397-08002B2CF9AE}" pid="13" name="_EmailSubject">
    <vt:lpwstr>format  bestuursstukken</vt:lpwstr>
  </property>
  <property fmtid="{D5CDD505-2E9C-101B-9397-08002B2CF9AE}" pid="14" name="_AuthorEmail">
    <vt:lpwstr>pouw@telfort.nl</vt:lpwstr>
  </property>
  <property fmtid="{D5CDD505-2E9C-101B-9397-08002B2CF9AE}" pid="15" name="_AuthorEmailDisplayName">
    <vt:lpwstr>Tilly Pouw</vt:lpwstr>
  </property>
  <property fmtid="{D5CDD505-2E9C-101B-9397-08002B2CF9AE}" pid="16" name="_ReviewingToolsShownOnce">
    <vt:lpwstr/>
  </property>
</Properties>
</file>