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64" w:rsidRPr="004469C8" w:rsidRDefault="00504AE7" w:rsidP="004E40B3">
      <w:pPr>
        <w:rPr>
          <w:b/>
        </w:rPr>
      </w:pPr>
      <w:r w:rsidRPr="00504AE7">
        <w:rPr>
          <w:noProof/>
        </w:rPr>
        <w:pict>
          <v:shapetype id="_x0000_t202" coordsize="21600,21600" o:spt="202" path="m,l,21600r21600,l21600,xe">
            <v:stroke joinstyle="miter"/>
            <v:path gradientshapeok="t" o:connecttype="rect"/>
          </v:shapetype>
          <v:shape id="_x0000_s1048" type="#_x0000_t202" style="position:absolute;margin-left:70.9pt;margin-top:43.65pt;width:191.1pt;height:23.25pt;z-index:251657728;mso-position-horizontal-relative:page;mso-position-vertical-relative:page" filled="f" stroked="f">
            <v:textbox style="mso-next-textbox:#_x0000_s1048" inset="0,0,0,0">
              <w:txbxContent>
                <w:p w:rsidR="00526D18" w:rsidRPr="00C246AD" w:rsidRDefault="00526D18">
                  <w:pPr>
                    <w:pStyle w:val="Documenttitel"/>
                  </w:pPr>
                  <w:r>
                    <w:t xml:space="preserve">Bijlage </w:t>
                  </w:r>
                  <w:bookmarkStart w:id="0" w:name="txtBijlageTitel"/>
                  <w:r>
                    <w:t xml:space="preserve"> </w:t>
                  </w:r>
                  <w:bookmarkEnd w:id="0"/>
                </w:p>
              </w:txbxContent>
            </v:textbox>
            <w10:wrap anchorx="page" anchory="page"/>
          </v:shape>
        </w:pict>
      </w:r>
      <w:bookmarkStart w:id="1" w:name="bijlagetekst"/>
      <w:bookmarkEnd w:id="1"/>
    </w:p>
    <w:p w:rsidR="00042164" w:rsidRPr="004469C8" w:rsidRDefault="00042164" w:rsidP="004E40B3">
      <w:pPr>
        <w:rPr>
          <w:b/>
        </w:rPr>
      </w:pPr>
    </w:p>
    <w:p w:rsidR="00042164" w:rsidRPr="004469C8" w:rsidRDefault="00042164" w:rsidP="004E40B3">
      <w:pPr>
        <w:rPr>
          <w:b/>
        </w:rPr>
      </w:pPr>
    </w:p>
    <w:p w:rsidR="00042164" w:rsidRPr="004469C8" w:rsidRDefault="00042164" w:rsidP="004E40B3">
      <w:pPr>
        <w:rPr>
          <w:b/>
        </w:rPr>
      </w:pPr>
    </w:p>
    <w:p w:rsidR="003104AD" w:rsidRPr="004469C8" w:rsidRDefault="003104AD" w:rsidP="004E40B3">
      <w:pPr>
        <w:rPr>
          <w:b/>
          <w:sz w:val="22"/>
          <w:szCs w:val="22"/>
        </w:rPr>
      </w:pPr>
    </w:p>
    <w:tbl>
      <w:tblPr>
        <w:tblW w:w="0" w:type="auto"/>
        <w:tblCellMar>
          <w:left w:w="0" w:type="dxa"/>
        </w:tblCellMar>
        <w:tblLook w:val="01E0"/>
      </w:tblPr>
      <w:tblGrid>
        <w:gridCol w:w="4522"/>
        <w:gridCol w:w="4374"/>
      </w:tblGrid>
      <w:tr w:rsidR="003104AD" w:rsidRPr="004469C8" w:rsidTr="003104AD">
        <w:tc>
          <w:tcPr>
            <w:tcW w:w="4522" w:type="dxa"/>
          </w:tcPr>
          <w:p w:rsidR="003104AD" w:rsidRPr="004469C8" w:rsidRDefault="003104AD" w:rsidP="004E40B3">
            <w:pPr>
              <w:pStyle w:val="Standaard8regel14Insprom0"/>
            </w:pPr>
            <w:bookmarkStart w:id="2" w:name="blwLabeldatum"/>
            <w:r w:rsidRPr="004469C8">
              <w:rPr>
                <w:b/>
                <w:bCs/>
              </w:rPr>
              <w:t>Datum</w:t>
            </w:r>
            <w:bookmarkEnd w:id="2"/>
            <w:r w:rsidRPr="004469C8">
              <w:t xml:space="preserve"> </w:t>
            </w:r>
            <w:r w:rsidRPr="004469C8">
              <w:tab/>
            </w:r>
            <w:r w:rsidR="003E35DB">
              <w:t>17 augustus 2011</w:t>
            </w:r>
          </w:p>
          <w:p w:rsidR="003104AD" w:rsidRPr="004469C8" w:rsidRDefault="003104AD" w:rsidP="004E40B3">
            <w:pPr>
              <w:pStyle w:val="Standaard8regel14insprom"/>
              <w:rPr>
                <w:b/>
                <w:bCs/>
              </w:rPr>
            </w:pPr>
            <w:r w:rsidRPr="004469C8">
              <w:rPr>
                <w:b/>
                <w:bCs/>
              </w:rPr>
              <w:t>Ons Kenmerk</w:t>
            </w:r>
            <w:r w:rsidRPr="004469C8">
              <w:tab/>
            </w:r>
            <w:r w:rsidR="00236306">
              <w:t>Bij</w:t>
            </w:r>
            <w:r w:rsidR="003E35DB">
              <w:t>1708</w:t>
            </w:r>
            <w:r w:rsidR="007B3B7E">
              <w:t>2011</w:t>
            </w:r>
            <w:r w:rsidR="00236306">
              <w:t>SA</w:t>
            </w:r>
          </w:p>
        </w:tc>
        <w:tc>
          <w:tcPr>
            <w:tcW w:w="4374" w:type="dxa"/>
          </w:tcPr>
          <w:p w:rsidR="003104AD" w:rsidRPr="004469C8" w:rsidRDefault="003104AD" w:rsidP="004E40B3">
            <w:pPr>
              <w:pStyle w:val="Standaard8regel14Insprom2"/>
              <w:tabs>
                <w:tab w:val="clear" w:pos="1134"/>
                <w:tab w:val="left" w:pos="1088"/>
              </w:tabs>
            </w:pPr>
            <w:r w:rsidRPr="004469C8">
              <w:rPr>
                <w:b/>
                <w:bCs/>
              </w:rPr>
              <w:t>Contact</w:t>
            </w:r>
            <w:r w:rsidRPr="004469C8">
              <w:t xml:space="preserve"> </w:t>
            </w:r>
            <w:r w:rsidRPr="004469C8">
              <w:tab/>
            </w:r>
            <w:r w:rsidR="0076097D" w:rsidRPr="004469C8">
              <w:rPr>
                <w:szCs w:val="16"/>
              </w:rPr>
              <w:t>mevr. mr. T. (Tineke) Donga</w:t>
            </w:r>
          </w:p>
          <w:p w:rsidR="003104AD" w:rsidRPr="004469C8" w:rsidRDefault="003104AD" w:rsidP="004E40B3">
            <w:pPr>
              <w:pStyle w:val="Standaard8regel14Insprom2"/>
              <w:tabs>
                <w:tab w:val="clear" w:pos="1134"/>
                <w:tab w:val="left" w:pos="1088"/>
              </w:tabs>
            </w:pPr>
            <w:bookmarkStart w:id="3" w:name="blwLabelDoorkiesnummer"/>
            <w:r w:rsidRPr="004469C8">
              <w:rPr>
                <w:b/>
                <w:bCs/>
              </w:rPr>
              <w:t>Telefoon</w:t>
            </w:r>
            <w:bookmarkEnd w:id="3"/>
            <w:r w:rsidRPr="004469C8">
              <w:t xml:space="preserve"> </w:t>
            </w:r>
            <w:r w:rsidR="0076097D" w:rsidRPr="004469C8">
              <w:tab/>
              <w:t>030- 27 39 624</w:t>
            </w:r>
          </w:p>
          <w:p w:rsidR="003104AD" w:rsidRPr="004469C8" w:rsidRDefault="003104AD" w:rsidP="004E40B3">
            <w:pPr>
              <w:pStyle w:val="Standaard8regel14Insprom2"/>
              <w:tabs>
                <w:tab w:val="clear" w:pos="1134"/>
                <w:tab w:val="left" w:pos="1088"/>
              </w:tabs>
              <w:ind w:left="0" w:firstLine="0"/>
            </w:pPr>
            <w:r w:rsidRPr="004469C8">
              <w:rPr>
                <w:b/>
                <w:bCs/>
              </w:rPr>
              <w:t>E-mail</w:t>
            </w:r>
            <w:r w:rsidRPr="004469C8">
              <w:t xml:space="preserve"> </w:t>
            </w:r>
            <w:r w:rsidRPr="004469C8">
              <w:tab/>
            </w:r>
            <w:r w:rsidR="0076097D" w:rsidRPr="004469C8">
              <w:t>tdonga</w:t>
            </w:r>
            <w:r w:rsidRPr="004469C8">
              <w:t>@vgn.org</w:t>
            </w:r>
          </w:p>
          <w:p w:rsidR="003104AD" w:rsidRPr="004469C8" w:rsidRDefault="003104AD" w:rsidP="004E40B3">
            <w:pPr>
              <w:pStyle w:val="Standaard8regel14Insprom2"/>
              <w:tabs>
                <w:tab w:val="clear" w:pos="1134"/>
                <w:tab w:val="left" w:pos="1088"/>
              </w:tabs>
              <w:rPr>
                <w:b/>
                <w:bCs/>
              </w:rPr>
            </w:pPr>
            <w:r w:rsidRPr="004469C8">
              <w:t xml:space="preserve">                    </w:t>
            </w:r>
          </w:p>
        </w:tc>
      </w:tr>
    </w:tbl>
    <w:p w:rsidR="003104AD" w:rsidRPr="004469C8" w:rsidRDefault="003104AD" w:rsidP="004E40B3">
      <w:pPr>
        <w:rPr>
          <w:b/>
          <w:sz w:val="22"/>
          <w:szCs w:val="22"/>
        </w:rPr>
      </w:pPr>
    </w:p>
    <w:p w:rsidR="00C56E38" w:rsidRPr="004469C8" w:rsidRDefault="00C56E38" w:rsidP="004E40B3">
      <w:pPr>
        <w:rPr>
          <w:b/>
          <w:sz w:val="22"/>
          <w:szCs w:val="22"/>
        </w:rPr>
      </w:pPr>
    </w:p>
    <w:p w:rsidR="0076097D" w:rsidRPr="004469C8" w:rsidRDefault="0045486D" w:rsidP="004E40B3">
      <w:pPr>
        <w:pStyle w:val="Geenafstand"/>
        <w:spacing w:line="280" w:lineRule="atLeast"/>
        <w:rPr>
          <w:rFonts w:ascii="Verdana" w:hAnsi="Verdana"/>
          <w:b/>
          <w:sz w:val="20"/>
          <w:szCs w:val="20"/>
        </w:rPr>
      </w:pPr>
      <w:r>
        <w:rPr>
          <w:rFonts w:ascii="Verdana" w:hAnsi="Verdana"/>
          <w:b/>
          <w:sz w:val="20"/>
          <w:szCs w:val="20"/>
        </w:rPr>
        <w:t>Nieuwe regels omtrent aanbestedingen</w:t>
      </w:r>
      <w:r w:rsidR="007B3B7E">
        <w:rPr>
          <w:rFonts w:ascii="Verdana" w:hAnsi="Verdana"/>
          <w:b/>
          <w:sz w:val="20"/>
          <w:szCs w:val="20"/>
        </w:rPr>
        <w:t xml:space="preserve">: monitoren aanbesteden gemeenten </w:t>
      </w:r>
      <w:r>
        <w:rPr>
          <w:rFonts w:ascii="Verdana" w:hAnsi="Verdana"/>
          <w:b/>
          <w:sz w:val="20"/>
          <w:szCs w:val="20"/>
        </w:rPr>
        <w:t xml:space="preserve"> </w:t>
      </w:r>
    </w:p>
    <w:p w:rsidR="0076097D" w:rsidRPr="004469C8" w:rsidRDefault="0076097D" w:rsidP="004E40B3">
      <w:pPr>
        <w:pStyle w:val="Geenafstand"/>
        <w:spacing w:line="280" w:lineRule="atLeast"/>
        <w:rPr>
          <w:rFonts w:ascii="Verdana" w:hAnsi="Verdana"/>
          <w:sz w:val="20"/>
          <w:szCs w:val="20"/>
        </w:rPr>
      </w:pPr>
    </w:p>
    <w:p w:rsidR="004D758C" w:rsidRDefault="006F4799" w:rsidP="004E40B3">
      <w:pPr>
        <w:contextualSpacing/>
      </w:pPr>
      <w:r>
        <w:t>Tengevolge van decentralisatie van delen van de AWBZ gaan gemeenten vanaf medio 2012 de</w:t>
      </w:r>
      <w:r w:rsidR="009C650A">
        <w:t xml:space="preserve">len van de </w:t>
      </w:r>
      <w:r>
        <w:t xml:space="preserve">zorg en ondersteuning voor gehandicapten regelen. Het wetsvoorstel nieuwe regels omtrent aanbestedingen geeft geen nationale regels voor </w:t>
      </w:r>
      <w:proofErr w:type="spellStart"/>
      <w:r>
        <w:t>B-diensten</w:t>
      </w:r>
      <w:proofErr w:type="spellEnd"/>
      <w:r>
        <w:t xml:space="preserve">. Hiermee heeft de gemeente als inkoper speelruimte en is (klassiek) aanbesteden </w:t>
      </w:r>
      <w:r w:rsidR="00406D2B">
        <w:t>volg</w:t>
      </w:r>
      <w:r w:rsidR="009C650A">
        <w:t>ens</w:t>
      </w:r>
      <w:r w:rsidR="00406D2B">
        <w:t xml:space="preserve"> ons </w:t>
      </w:r>
      <w:r>
        <w:t xml:space="preserve">niet nodig. </w:t>
      </w:r>
      <w:r w:rsidR="004D758C">
        <w:t xml:space="preserve">Gebeurt dit toch, dan vinden wij nationale regels </w:t>
      </w:r>
      <w:r w:rsidR="00D463D3">
        <w:t>aangewezen</w:t>
      </w:r>
      <w:r w:rsidR="009C650A">
        <w:t xml:space="preserve"> om dat te voorkomen</w:t>
      </w:r>
      <w:r w:rsidR="00D463D3">
        <w:t xml:space="preserve">. </w:t>
      </w:r>
      <w:r w:rsidR="004D758C">
        <w:t xml:space="preserve"> Hieronder lichten wij toe waarom wij vinden dat monitoren van de inkoopprocessen van gemeenten nodig is.   </w:t>
      </w:r>
    </w:p>
    <w:p w:rsidR="004D758C" w:rsidRDefault="004D758C" w:rsidP="004E40B3">
      <w:pPr>
        <w:contextualSpacing/>
        <w:rPr>
          <w:b/>
          <w:i/>
        </w:rPr>
      </w:pPr>
    </w:p>
    <w:p w:rsidR="006F4799" w:rsidRPr="00A16EFA" w:rsidRDefault="006F4799" w:rsidP="004E40B3">
      <w:pPr>
        <w:contextualSpacing/>
        <w:rPr>
          <w:b/>
          <w:i/>
        </w:rPr>
      </w:pPr>
      <w:r w:rsidRPr="00A16EFA">
        <w:rPr>
          <w:b/>
          <w:i/>
        </w:rPr>
        <w:t xml:space="preserve">Monitoren: </w:t>
      </w:r>
      <w:r w:rsidR="00A24291">
        <w:rPr>
          <w:b/>
          <w:i/>
        </w:rPr>
        <w:t xml:space="preserve">type </w:t>
      </w:r>
      <w:r w:rsidRPr="00A16EFA">
        <w:rPr>
          <w:b/>
          <w:i/>
        </w:rPr>
        <w:t>aanbested</w:t>
      </w:r>
      <w:r w:rsidR="00A24291">
        <w:rPr>
          <w:b/>
          <w:i/>
        </w:rPr>
        <w:t xml:space="preserve">ing </w:t>
      </w:r>
      <w:r w:rsidRPr="00A16EFA">
        <w:rPr>
          <w:b/>
          <w:i/>
        </w:rPr>
        <w:t xml:space="preserve">en (gekozen) regime </w:t>
      </w:r>
    </w:p>
    <w:p w:rsidR="00A24291" w:rsidRDefault="006F4799" w:rsidP="004E40B3">
      <w:pPr>
        <w:contextualSpacing/>
      </w:pPr>
      <w:r>
        <w:t xml:space="preserve">Volgens de Europese regels geldt voor </w:t>
      </w:r>
      <w:proofErr w:type="spellStart"/>
      <w:r>
        <w:t>B-diensten</w:t>
      </w:r>
      <w:proofErr w:type="spellEnd"/>
      <w:r>
        <w:t xml:space="preserve"> een verlicht regime. Daarbij speelt het criterium </w:t>
      </w:r>
      <w:r w:rsidRPr="00A24291">
        <w:rPr>
          <w:i/>
        </w:rPr>
        <w:t xml:space="preserve">grensoverschrijdend </w:t>
      </w:r>
      <w:r>
        <w:t xml:space="preserve">belang een grote rol. Is er geen grensoverschrijdend belang, dan vallen deze diensten buiten het Europese aanbestedingsregime. </w:t>
      </w:r>
      <w:r w:rsidR="0029429C">
        <w:t>Met andere woorden</w:t>
      </w:r>
      <w:r w:rsidR="009C650A">
        <w:t>:</w:t>
      </w:r>
      <w:r w:rsidR="0029429C">
        <w:t xml:space="preserve"> er hoeft niet te worden aanbesteed. </w:t>
      </w:r>
      <w:r>
        <w:t>Gemeenten moeten van te voren op grond van objectieve criteria vast</w:t>
      </w:r>
      <w:r w:rsidR="009C650A">
        <w:t>s</w:t>
      </w:r>
      <w:r>
        <w:t xml:space="preserve">tellen of zij verplicht zijn tot aanbesteden en onder welk regime, zo schrijft de minister van EL&amp;I in het Verslag. </w:t>
      </w:r>
    </w:p>
    <w:p w:rsidR="00A24291" w:rsidRDefault="006F4799" w:rsidP="004E40B3">
      <w:pPr>
        <w:pStyle w:val="Lijstalinea"/>
        <w:numPr>
          <w:ilvl w:val="0"/>
          <w:numId w:val="20"/>
        </w:numPr>
        <w:ind w:left="567" w:hanging="567"/>
      </w:pPr>
      <w:r>
        <w:t xml:space="preserve">Dit garandeert volgens ons niet dat de gemeente niet zouden kunnen kiezen voor het zwaardere regime van de zogeheten </w:t>
      </w:r>
      <w:proofErr w:type="spellStart"/>
      <w:r>
        <w:t>A-diensten</w:t>
      </w:r>
      <w:proofErr w:type="spellEnd"/>
      <w:r>
        <w:t xml:space="preserve">. </w:t>
      </w:r>
    </w:p>
    <w:p w:rsidR="00A24291" w:rsidRDefault="00A24291" w:rsidP="004E40B3">
      <w:pPr>
        <w:pStyle w:val="Lijstalinea"/>
        <w:numPr>
          <w:ilvl w:val="0"/>
          <w:numId w:val="20"/>
        </w:numPr>
        <w:ind w:left="567" w:hanging="567"/>
      </w:pPr>
      <w:r>
        <w:t>H</w:t>
      </w:r>
      <w:r w:rsidR="006F4799">
        <w:t xml:space="preserve">et vaststellen of er sprake is van een grensoverschrijdend belang </w:t>
      </w:r>
      <w:r>
        <w:t xml:space="preserve">is </w:t>
      </w:r>
      <w:r w:rsidR="006F4799">
        <w:t xml:space="preserve">niet eenvoudig. In verwachting dat de jurisprudentie van het </w:t>
      </w:r>
      <w:proofErr w:type="spellStart"/>
      <w:r w:rsidR="006F4799">
        <w:t>HvJEG</w:t>
      </w:r>
      <w:proofErr w:type="spellEnd"/>
      <w:r w:rsidR="006F4799">
        <w:t xml:space="preserve"> hierover in de toekomst meer duidelijkheid gaat geven, licht de minister toe dat hij het begrip grensoverschrijdend belang niet verder uitwerkt. </w:t>
      </w:r>
    </w:p>
    <w:p w:rsidR="00A82CDD" w:rsidRDefault="006F4799" w:rsidP="004E40B3">
      <w:pPr>
        <w:pStyle w:val="Lijstalinea"/>
        <w:numPr>
          <w:ilvl w:val="0"/>
          <w:numId w:val="20"/>
        </w:numPr>
        <w:ind w:left="567" w:hanging="567"/>
      </w:pPr>
      <w:r>
        <w:t xml:space="preserve">Omdat dit begrip niet is uitgewerkt, </w:t>
      </w:r>
      <w:r w:rsidR="00A24291">
        <w:t xml:space="preserve">zullen </w:t>
      </w:r>
      <w:r>
        <w:t xml:space="preserve">sommige gemeenten maar het zekere voor het onzekere kiezen en onverplicht gaan aanbesteden </w:t>
      </w:r>
      <w:r w:rsidR="00A82CDD">
        <w:t xml:space="preserve">en </w:t>
      </w:r>
      <w:r>
        <w:t>zelfs kiezen voor een te zwaar regime</w:t>
      </w:r>
      <w:r w:rsidR="00A82CDD">
        <w:t xml:space="preserve">. </w:t>
      </w:r>
    </w:p>
    <w:p w:rsidR="006F4799" w:rsidRDefault="00C4631D" w:rsidP="004E40B3">
      <w:pPr>
        <w:pStyle w:val="Lijstalinea"/>
        <w:numPr>
          <w:ilvl w:val="0"/>
          <w:numId w:val="20"/>
        </w:numPr>
        <w:ind w:left="567" w:hanging="567"/>
      </w:pPr>
      <w:r>
        <w:t>K</w:t>
      </w:r>
      <w:r w:rsidR="00A82CDD">
        <w:t xml:space="preserve">lassieke aanbestedingen zijn </w:t>
      </w:r>
      <w:r w:rsidR="009C650A">
        <w:t xml:space="preserve">in onze visie </w:t>
      </w:r>
      <w:r w:rsidR="00A82CDD">
        <w:t xml:space="preserve">geen passend instrument om diensten voor gehandicapten in te kopen. Deze leiden </w:t>
      </w:r>
      <w:r>
        <w:t xml:space="preserve">volgens ons tot </w:t>
      </w:r>
      <w:r w:rsidR="00A82CDD">
        <w:t>m</w:t>
      </w:r>
      <w:r w:rsidR="006F4799">
        <w:t>aatschappelijk ongewenste uitkomsten.</w:t>
      </w:r>
      <w:r w:rsidR="00A82CDD">
        <w:t xml:space="preserve"> Hieronder</w:t>
      </w:r>
      <w:r>
        <w:t xml:space="preserve"> </w:t>
      </w:r>
      <w:r w:rsidR="00A82CDD">
        <w:t>licht</w:t>
      </w:r>
      <w:r>
        <w:t>en wij dit toe</w:t>
      </w:r>
      <w:r w:rsidR="0029429C">
        <w:t>.</w:t>
      </w:r>
      <w:r w:rsidR="00A82CDD">
        <w:t xml:space="preserve"> </w:t>
      </w:r>
      <w:r w:rsidR="006F4799">
        <w:t xml:space="preserve"> </w:t>
      </w:r>
    </w:p>
    <w:p w:rsidR="006F4799" w:rsidRDefault="006F4799" w:rsidP="004E40B3">
      <w:pPr>
        <w:contextualSpacing/>
      </w:pPr>
    </w:p>
    <w:p w:rsidR="006F4799" w:rsidRPr="00D47BF2" w:rsidRDefault="006F4799" w:rsidP="004E40B3">
      <w:pPr>
        <w:contextualSpacing/>
        <w:rPr>
          <w:i/>
        </w:rPr>
      </w:pPr>
      <w:r>
        <w:rPr>
          <w:i/>
        </w:rPr>
        <w:t>Klassieke a</w:t>
      </w:r>
      <w:r w:rsidRPr="00D47BF2">
        <w:rPr>
          <w:i/>
        </w:rPr>
        <w:t>anbesteding</w:t>
      </w:r>
      <w:r>
        <w:rPr>
          <w:i/>
        </w:rPr>
        <w:t xml:space="preserve">: ongeschikt voor </w:t>
      </w:r>
      <w:r w:rsidRPr="00D47BF2">
        <w:rPr>
          <w:i/>
        </w:rPr>
        <w:t>gehandicaptenzorg</w:t>
      </w:r>
      <w:r>
        <w:rPr>
          <w:i/>
        </w:rPr>
        <w:t xml:space="preserve">; </w:t>
      </w:r>
    </w:p>
    <w:p w:rsidR="00A82CDD" w:rsidRDefault="009C650A" w:rsidP="004E40B3">
      <w:pPr>
        <w:contextualSpacing/>
      </w:pPr>
      <w:r>
        <w:t>De ‘klassieke’ aanbesteding</w:t>
      </w:r>
      <w:r w:rsidR="006F4799">
        <w:t xml:space="preserve"> kenmerkt zich door een strak voorgeschreven </w:t>
      </w:r>
      <w:proofErr w:type="spellStart"/>
      <w:r w:rsidR="006F4799">
        <w:t>format</w:t>
      </w:r>
      <w:proofErr w:type="spellEnd"/>
      <w:r w:rsidR="006F4799">
        <w:t xml:space="preserve">. </w:t>
      </w:r>
      <w:r w:rsidR="00A82CDD">
        <w:t xml:space="preserve">Dit </w:t>
      </w:r>
      <w:r w:rsidR="00C4631D">
        <w:t xml:space="preserve">instrument </w:t>
      </w:r>
      <w:r w:rsidR="0029429C">
        <w:t xml:space="preserve">vinden wij </w:t>
      </w:r>
      <w:r w:rsidR="00A82CDD">
        <w:t>ongeschikt omdat:</w:t>
      </w:r>
      <w:r w:rsidR="006F4799">
        <w:t xml:space="preserve"> </w:t>
      </w:r>
    </w:p>
    <w:p w:rsidR="00A82CDD" w:rsidRDefault="009C650A" w:rsidP="004E40B3">
      <w:pPr>
        <w:pStyle w:val="Lijstalinea"/>
        <w:numPr>
          <w:ilvl w:val="0"/>
          <w:numId w:val="21"/>
        </w:numPr>
        <w:ind w:left="567" w:hanging="567"/>
      </w:pPr>
      <w:r>
        <w:t xml:space="preserve">Het om </w:t>
      </w:r>
      <w:r w:rsidR="006F4799">
        <w:t>langdurige zorg</w:t>
      </w:r>
      <w:r w:rsidR="0029429C">
        <w:t xml:space="preserve"> gaat</w:t>
      </w:r>
      <w:r w:rsidR="006F4799">
        <w:t>, waarvoor langdurige contractuele relaties nodig zijn om de continuïteit van zorg aan gehandicapten te waarborgen. Dit spoort niet met de korte termijn die bij klassieke aanbestedingen</w:t>
      </w:r>
      <w:r w:rsidR="0029429C">
        <w:t xml:space="preserve"> </w:t>
      </w:r>
      <w:r w:rsidR="00A82CDD">
        <w:t xml:space="preserve">speelt en </w:t>
      </w:r>
      <w:r w:rsidR="006F4799">
        <w:t xml:space="preserve">steeds tot een andere uitkomst (aanbieder) kan leiden. </w:t>
      </w:r>
    </w:p>
    <w:p w:rsidR="008C3C72" w:rsidRDefault="008C3C72" w:rsidP="004E40B3">
      <w:pPr>
        <w:ind w:left="567" w:hanging="567"/>
      </w:pPr>
    </w:p>
    <w:p w:rsidR="008C3C72" w:rsidRDefault="008C3C72" w:rsidP="004E40B3">
      <w:pPr>
        <w:ind w:left="567" w:hanging="567"/>
      </w:pPr>
    </w:p>
    <w:p w:rsidR="008C3C72" w:rsidRDefault="008C3C72" w:rsidP="004E40B3">
      <w:pPr>
        <w:ind w:left="567" w:hanging="567"/>
      </w:pPr>
    </w:p>
    <w:p w:rsidR="008C3C72" w:rsidRDefault="008C3C72" w:rsidP="004E40B3">
      <w:pPr>
        <w:ind w:left="567" w:hanging="567"/>
      </w:pPr>
    </w:p>
    <w:p w:rsidR="008C3C72" w:rsidRDefault="008C3C72" w:rsidP="004E40B3">
      <w:pPr>
        <w:ind w:left="567" w:hanging="567"/>
      </w:pPr>
    </w:p>
    <w:p w:rsidR="008C3C72" w:rsidRDefault="008C3C72" w:rsidP="004E40B3">
      <w:pPr>
        <w:ind w:left="567" w:hanging="567"/>
      </w:pPr>
    </w:p>
    <w:p w:rsidR="00A82CDD" w:rsidRDefault="006F4799" w:rsidP="004E40B3">
      <w:pPr>
        <w:pStyle w:val="Lijstalinea"/>
        <w:numPr>
          <w:ilvl w:val="0"/>
          <w:numId w:val="21"/>
        </w:numPr>
        <w:ind w:left="567" w:hanging="567"/>
      </w:pPr>
      <w:r>
        <w:t xml:space="preserve">Langdurige zorg </w:t>
      </w:r>
      <w:r w:rsidR="0029429C">
        <w:t xml:space="preserve">voor gehandicapten </w:t>
      </w:r>
      <w:r>
        <w:t>vergt een integrale benadering</w:t>
      </w:r>
      <w:r w:rsidR="0029429C">
        <w:t xml:space="preserve">, zowel </w:t>
      </w:r>
      <w:r>
        <w:t xml:space="preserve">met de </w:t>
      </w:r>
      <w:r w:rsidR="0029429C">
        <w:t xml:space="preserve">resterende </w:t>
      </w:r>
      <w:r>
        <w:t xml:space="preserve">AWBZ zorg en de </w:t>
      </w:r>
      <w:r w:rsidR="0029429C">
        <w:t xml:space="preserve">genoemde </w:t>
      </w:r>
      <w:r w:rsidR="003F21FB">
        <w:t>levensdomeinen)</w:t>
      </w:r>
      <w:r>
        <w:t xml:space="preserve"> evenals het kunnen</w:t>
      </w:r>
      <w:r w:rsidR="008C3C72">
        <w:t xml:space="preserve"> </w:t>
      </w:r>
      <w:r>
        <w:t xml:space="preserve">leveren van maatwerk. Hiervoor is het nodig dat aanbieders van gehandicaptenzorg en gemeenten hierover met elkaar </w:t>
      </w:r>
      <w:r w:rsidRPr="00641520">
        <w:t xml:space="preserve">in gesprek </w:t>
      </w:r>
      <w:r>
        <w:t xml:space="preserve">gaan en dit gesprek ook doorlopend voeren. </w:t>
      </w:r>
    </w:p>
    <w:p w:rsidR="009C650A" w:rsidRDefault="006F4799" w:rsidP="004E40B3">
      <w:pPr>
        <w:pStyle w:val="Lijstalinea"/>
        <w:numPr>
          <w:ilvl w:val="0"/>
          <w:numId w:val="21"/>
        </w:numPr>
        <w:ind w:left="567" w:hanging="567"/>
      </w:pPr>
      <w:r>
        <w:t>Bij de klassieke aanbesteding is er geen ruimte om met elkaar in gesprek te gaan of te onderhandelen. Dit terwijl die handelswijze volgens ons mede van belang is om de door de overheid beoogde participatie van gehandicapten in het locale domein te doen slagen.</w:t>
      </w:r>
    </w:p>
    <w:p w:rsidR="00A82CDD" w:rsidRDefault="009C650A" w:rsidP="004E40B3">
      <w:pPr>
        <w:pStyle w:val="Lijstalinea"/>
        <w:numPr>
          <w:ilvl w:val="0"/>
          <w:numId w:val="21"/>
        </w:numPr>
        <w:ind w:left="567" w:hanging="567"/>
      </w:pPr>
      <w:r>
        <w:t>Bij klassieke aanbestedingen ge</w:t>
      </w:r>
      <w:r w:rsidR="003538C8">
        <w:t xml:space="preserve">ldt vaak </w:t>
      </w:r>
      <w:r w:rsidR="00827F50">
        <w:t xml:space="preserve">het principe van </w:t>
      </w:r>
      <w:r w:rsidR="003538C8">
        <w:t>“</w:t>
      </w:r>
      <w:proofErr w:type="spellStart"/>
      <w:r w:rsidR="003538C8">
        <w:t>one</w:t>
      </w:r>
      <w:proofErr w:type="spellEnd"/>
      <w:r w:rsidR="003538C8">
        <w:t xml:space="preserve"> winner </w:t>
      </w:r>
      <w:proofErr w:type="spellStart"/>
      <w:r w:rsidR="003538C8">
        <w:t>takes</w:t>
      </w:r>
      <w:proofErr w:type="spellEnd"/>
      <w:r w:rsidR="003538C8">
        <w:t xml:space="preserve"> all”. Dat kan ertoe leiden dat </w:t>
      </w:r>
      <w:r w:rsidR="00827F50">
        <w:t xml:space="preserve">een aantal </w:t>
      </w:r>
      <w:r w:rsidR="003538C8">
        <w:t>aanbieder</w:t>
      </w:r>
      <w:r w:rsidR="00827F50">
        <w:t>s</w:t>
      </w:r>
      <w:r w:rsidR="003538C8">
        <w:t xml:space="preserve"> van gehandicaptenzorg geen contract krijgt, met als gevolg het verlies van arbeidsplaatsen. Wij verwachten dat aanbieders eerder geneigd zijn om flexibele arbeidscontracten af te sluiten, omdat het niet zeker is wat gemeenten gaan financieren.</w:t>
      </w:r>
      <w:r w:rsidR="00060A12">
        <w:t xml:space="preserve"> </w:t>
      </w:r>
      <w:r w:rsidR="00761AB9">
        <w:t xml:space="preserve">Wanneer </w:t>
      </w:r>
      <w:r w:rsidR="003538C8">
        <w:t>aanbestedingen</w:t>
      </w:r>
      <w:r w:rsidR="003F21FB">
        <w:t xml:space="preserve"> </w:t>
      </w:r>
      <w:r w:rsidR="00761AB9">
        <w:t xml:space="preserve">uitgeschreven worden </w:t>
      </w:r>
      <w:r w:rsidR="003538C8">
        <w:t xml:space="preserve">waarbij </w:t>
      </w:r>
      <w:r w:rsidR="00761AB9">
        <w:t xml:space="preserve">feitelijk </w:t>
      </w:r>
      <w:r w:rsidR="003538C8">
        <w:t xml:space="preserve">geconcurreerd moet worden op de prijs, </w:t>
      </w:r>
      <w:r w:rsidR="00761AB9">
        <w:t>kan dat ertoe leiden dat de kwaliteit in de knel komt of expertise zelfs weglekt door (gedwongen) vertrek van medewerkers.</w:t>
      </w:r>
      <w:r w:rsidR="003538C8">
        <w:t xml:space="preserve">  </w:t>
      </w:r>
      <w:r>
        <w:t xml:space="preserve">    </w:t>
      </w:r>
      <w:r w:rsidR="006F4799">
        <w:t xml:space="preserve"> </w:t>
      </w:r>
    </w:p>
    <w:p w:rsidR="008C3C72" w:rsidRPr="008C3C72" w:rsidRDefault="006F4799" w:rsidP="004E40B3">
      <w:pPr>
        <w:pStyle w:val="Lijstalinea"/>
        <w:numPr>
          <w:ilvl w:val="0"/>
          <w:numId w:val="21"/>
        </w:numPr>
        <w:ind w:left="567" w:hanging="567"/>
        <w:rPr>
          <w:b/>
          <w:i/>
        </w:rPr>
      </w:pPr>
      <w:r>
        <w:t>Klassieke aanbestedingen</w:t>
      </w:r>
      <w:r w:rsidR="00A82CDD">
        <w:t xml:space="preserve"> gaan gepaard met </w:t>
      </w:r>
      <w:r w:rsidR="0029429C">
        <w:t>hoge administratieve lasten en dus hoge kosten (zie onder). Dit zou</w:t>
      </w:r>
      <w:r>
        <w:t xml:space="preserve"> zelfs een belemmering kunnen vormen voor aanbieders van gehandicaptenzorg om mee te doen</w:t>
      </w:r>
      <w:r w:rsidR="0029429C">
        <w:t xml:space="preserve"> en </w:t>
      </w:r>
      <w:r>
        <w:t xml:space="preserve">zich volledig terugtrekken uit de ‘markt’. </w:t>
      </w:r>
      <w:r w:rsidR="0029429C">
        <w:t>M</w:t>
      </w:r>
      <w:r>
        <w:t>et als gevolg een verschraling in het toekomstig aanbod van diensten voor gehandicapten. In dat laatste geval kan het neveneffect daarvan zijn dat gehandicapten eerder aangewezen zij</w:t>
      </w:r>
      <w:r w:rsidR="008C3C72">
        <w:t>n op duurdere intramurale zorg.</w:t>
      </w:r>
    </w:p>
    <w:p w:rsidR="008C3C72" w:rsidRDefault="008C3C72" w:rsidP="004E40B3">
      <w:pPr>
        <w:rPr>
          <w:b/>
          <w:i/>
        </w:rPr>
      </w:pPr>
    </w:p>
    <w:p w:rsidR="006F4799" w:rsidRPr="008C3C72" w:rsidRDefault="006F4799" w:rsidP="004E40B3">
      <w:pPr>
        <w:rPr>
          <w:b/>
          <w:i/>
        </w:rPr>
      </w:pPr>
      <w:r w:rsidRPr="008C3C72">
        <w:rPr>
          <w:b/>
          <w:i/>
        </w:rPr>
        <w:t>Monitoren administratieve lasten</w:t>
      </w:r>
    </w:p>
    <w:p w:rsidR="006F4799" w:rsidRPr="00641520" w:rsidRDefault="006F4799" w:rsidP="004E40B3">
      <w:pPr>
        <w:contextualSpacing/>
      </w:pPr>
      <w:r>
        <w:t xml:space="preserve">Het is algemeen bekend dat de lasten die gepaard gaan met aanbestedingsprocedures aanzienlijk zijn. </w:t>
      </w:r>
      <w:r w:rsidR="0029429C">
        <w:t>Dit geldt ook indien gemeenten ‘</w:t>
      </w:r>
      <w:proofErr w:type="spellStart"/>
      <w:r w:rsidR="0029429C">
        <w:t>pseudo-aanbestedingen</w:t>
      </w:r>
      <w:proofErr w:type="spellEnd"/>
      <w:r w:rsidR="0029429C">
        <w:t>’ doen (inkoopprocessen die sterk lijken op formele aanbestedingen)</w:t>
      </w:r>
      <w:r w:rsidR="00130AC4">
        <w:t>.</w:t>
      </w:r>
      <w:r w:rsidR="0029429C">
        <w:t xml:space="preserve"> </w:t>
      </w:r>
      <w:r w:rsidR="00016375">
        <w:t xml:space="preserve">Gemeenten kunnen allen hun eigen spelregels maken. </w:t>
      </w:r>
      <w:r>
        <w:t xml:space="preserve">Door gebrek aan uniformiteit bij de </w:t>
      </w:r>
      <w:r w:rsidR="00130AC4">
        <w:t xml:space="preserve">aanbestedingen, respectievelijk </w:t>
      </w:r>
      <w:r>
        <w:t xml:space="preserve">inkoopprocedures van gemeenten kunnen die </w:t>
      </w:r>
      <w:r w:rsidR="00016375">
        <w:t xml:space="preserve">administratieve </w:t>
      </w:r>
      <w:r>
        <w:t xml:space="preserve">lasten onevenredig zwaar worden. Te meer als zou blijken dat gemeenten (te) weinig oog hebben voor de administratieve lasten van aanbieders. </w:t>
      </w:r>
      <w:r w:rsidR="00526D18">
        <w:t xml:space="preserve">Aanbieders van gehandicaptenzorg werken nu vaak bovenregionaal en soms landelijk. Zij </w:t>
      </w:r>
      <w:r w:rsidR="0082118D">
        <w:t>contracteren nu</w:t>
      </w:r>
      <w:r w:rsidR="00526D18">
        <w:t xml:space="preserve"> met 32 zorgkantoren (feitelijk</w:t>
      </w:r>
      <w:r w:rsidR="0082118D">
        <w:t>:</w:t>
      </w:r>
      <w:r w:rsidR="00526D18">
        <w:t xml:space="preserve"> 4 grote zorgverzekeraars en 4 kleine)</w:t>
      </w:r>
      <w:r w:rsidR="0082118D">
        <w:t xml:space="preserve"> </w:t>
      </w:r>
      <w:r w:rsidR="00526D18">
        <w:t xml:space="preserve">en krijgen </w:t>
      </w:r>
      <w:r w:rsidR="00827F50">
        <w:t xml:space="preserve">straks </w:t>
      </w:r>
      <w:r w:rsidR="00526D18">
        <w:t xml:space="preserve">te maken met 418 gemeenten. </w:t>
      </w:r>
      <w:r>
        <w:t xml:space="preserve">Om </w:t>
      </w:r>
      <w:r w:rsidR="00130AC4">
        <w:t>e</w:t>
      </w:r>
      <w:r>
        <w:t>ventuele administratieve lasten tijdig te kunnen terugdringen</w:t>
      </w:r>
      <w:r w:rsidR="00130AC4">
        <w:t xml:space="preserve"> moeten</w:t>
      </w:r>
      <w:r w:rsidR="0056514A">
        <w:t xml:space="preserve"> volgens ons</w:t>
      </w:r>
      <w:r>
        <w:t xml:space="preserve">, aanbestedingen, respectievelijk inkoopprocedures </w:t>
      </w:r>
      <w:r w:rsidR="0056514A">
        <w:t xml:space="preserve">van gemeenten </w:t>
      </w:r>
      <w:r w:rsidR="00130AC4">
        <w:t>v</w:t>
      </w:r>
      <w:r>
        <w:t xml:space="preserve">anaf het begin </w:t>
      </w:r>
      <w:r w:rsidR="0056514A">
        <w:t xml:space="preserve">hierop </w:t>
      </w:r>
      <w:r>
        <w:t xml:space="preserve">worden </w:t>
      </w:r>
      <w:proofErr w:type="spellStart"/>
      <w:r>
        <w:t>gemonitord</w:t>
      </w:r>
      <w:proofErr w:type="spellEnd"/>
      <w:r>
        <w:t xml:space="preserve">.     </w:t>
      </w:r>
    </w:p>
    <w:p w:rsidR="00236306" w:rsidRDefault="00236306" w:rsidP="004E40B3"/>
    <w:p w:rsidR="00236306" w:rsidRPr="004469C8" w:rsidRDefault="00236306" w:rsidP="004E40B3"/>
    <w:p w:rsidR="00C46F08" w:rsidRPr="004469C8" w:rsidRDefault="00C46F08" w:rsidP="004E40B3">
      <w:pPr>
        <w:pStyle w:val="Geenafstand"/>
        <w:spacing w:line="280" w:lineRule="atLeast"/>
        <w:rPr>
          <w:rFonts w:ascii="Verdana" w:hAnsi="Verdana"/>
          <w:sz w:val="20"/>
          <w:szCs w:val="20"/>
        </w:rPr>
      </w:pPr>
    </w:p>
    <w:sectPr w:rsidR="00C46F08" w:rsidRPr="004469C8" w:rsidSect="0025784C">
      <w:head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D18" w:rsidRDefault="00526D18" w:rsidP="00FF04C3">
      <w:pPr>
        <w:spacing w:line="240" w:lineRule="auto"/>
      </w:pPr>
      <w:r>
        <w:separator/>
      </w:r>
    </w:p>
  </w:endnote>
  <w:endnote w:type="continuationSeparator" w:id="0">
    <w:p w:rsidR="00526D18" w:rsidRDefault="00526D18" w:rsidP="00FF04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D18" w:rsidRDefault="00526D18" w:rsidP="00FF04C3">
      <w:pPr>
        <w:spacing w:line="240" w:lineRule="auto"/>
      </w:pPr>
      <w:r>
        <w:separator/>
      </w:r>
    </w:p>
  </w:footnote>
  <w:footnote w:type="continuationSeparator" w:id="0">
    <w:p w:rsidR="00526D18" w:rsidRDefault="00526D18" w:rsidP="00FF04C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D18" w:rsidRDefault="00526D18">
    <w:pPr>
      <w:pStyle w:val="Koptekst"/>
    </w:pPr>
    <w:r>
      <w:rPr>
        <w:noProof/>
      </w:rPr>
      <w:drawing>
        <wp:anchor distT="0" distB="0" distL="114300" distR="114300" simplePos="0" relativeHeight="251657728" behindDoc="1" locked="0" layoutInCell="1" allowOverlap="1">
          <wp:simplePos x="0" y="0"/>
          <wp:positionH relativeFrom="page">
            <wp:posOffset>3948430</wp:posOffset>
          </wp:positionH>
          <wp:positionV relativeFrom="page">
            <wp:posOffset>328930</wp:posOffset>
          </wp:positionV>
          <wp:extent cx="2580005" cy="1077595"/>
          <wp:effectExtent l="19050" t="0" r="0" b="0"/>
          <wp:wrapNone/>
          <wp:docPr id="9" name="Afbeelding 9" descr="VGN_logo_OutlineZWART_7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GN_logo_OutlineZWART_7n"/>
                  <pic:cNvPicPr>
                    <a:picLocks noChangeAspect="1" noChangeArrowheads="1"/>
                  </pic:cNvPicPr>
                </pic:nvPicPr>
                <pic:blipFill>
                  <a:blip r:embed="rId1"/>
                  <a:srcRect/>
                  <a:stretch>
                    <a:fillRect/>
                  </a:stretch>
                </pic:blipFill>
                <pic:spPr bwMode="auto">
                  <a:xfrm>
                    <a:off x="0" y="0"/>
                    <a:ext cx="2580005" cy="1077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3F4D"/>
    <w:multiLevelType w:val="hybridMultilevel"/>
    <w:tmpl w:val="FD344F6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12DA77B5"/>
    <w:multiLevelType w:val="multilevel"/>
    <w:tmpl w:val="FEE89F98"/>
    <w:lvl w:ilvl="0">
      <w:start w:val="1"/>
      <w:numFmt w:val="decimal"/>
      <w:pStyle w:val="Kop1"/>
      <w:lvlText w:val="%1."/>
      <w:lvlJc w:val="left"/>
      <w:pPr>
        <w:tabs>
          <w:tab w:val="num" w:pos="432"/>
        </w:tabs>
        <w:ind w:left="432" w:hanging="432"/>
      </w:pPr>
      <w:rPr>
        <w:rFonts w:hint="default"/>
      </w:rPr>
    </w:lvl>
    <w:lvl w:ilvl="1">
      <w:start w:val="1"/>
      <w:numFmt w:val="lowerLetter"/>
      <w:pStyle w:val="Kop2"/>
      <w:lvlText w:val="%2"/>
      <w:lvlJc w:val="left"/>
      <w:pPr>
        <w:tabs>
          <w:tab w:val="num" w:pos="862"/>
        </w:tabs>
        <w:ind w:left="862" w:hanging="431"/>
      </w:pPr>
      <w:rPr>
        <w:rFonts w:hint="default"/>
      </w:rPr>
    </w:lvl>
    <w:lvl w:ilvl="2">
      <w:start w:val="1"/>
      <w:numFmt w:val="bullet"/>
      <w:pStyle w:val="Kop3"/>
      <w:lvlText w:val="-"/>
      <w:lvlJc w:val="left"/>
      <w:pPr>
        <w:tabs>
          <w:tab w:val="num" w:pos="1293"/>
        </w:tabs>
        <w:ind w:left="1293" w:hanging="431"/>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707164A"/>
    <w:multiLevelType w:val="multilevel"/>
    <w:tmpl w:val="BB12259E"/>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3873BC2"/>
    <w:multiLevelType w:val="multilevel"/>
    <w:tmpl w:val="339653A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2"/>
        </w:tabs>
        <w:ind w:left="862" w:hanging="431"/>
      </w:pPr>
      <w:rPr>
        <w:rFonts w:hint="default"/>
      </w:rPr>
    </w:lvl>
    <w:lvl w:ilvl="2">
      <w:start w:val="1"/>
      <w:numFmt w:val="bullet"/>
      <w:lvlText w:val="-"/>
      <w:lvlJc w:val="left"/>
      <w:pPr>
        <w:tabs>
          <w:tab w:val="num" w:pos="1293"/>
        </w:tabs>
        <w:ind w:left="1293" w:hanging="431"/>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8B23BEC"/>
    <w:multiLevelType w:val="hybridMultilevel"/>
    <w:tmpl w:val="FDE03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CA07903"/>
    <w:multiLevelType w:val="multilevel"/>
    <w:tmpl w:val="E208FC7E"/>
    <w:lvl w:ilvl="0">
      <w:start w:val="1"/>
      <w:numFmt w:val="bullet"/>
      <w:lvlText w:val="-"/>
      <w:lvlJc w:val="left"/>
      <w:pPr>
        <w:tabs>
          <w:tab w:val="num" w:pos="1151"/>
        </w:tabs>
        <w:ind w:left="1151"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0FB15B8"/>
    <w:multiLevelType w:val="hybridMultilevel"/>
    <w:tmpl w:val="BB12259E"/>
    <w:lvl w:ilvl="0" w:tplc="FAF090BA">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25C524D"/>
    <w:multiLevelType w:val="multilevel"/>
    <w:tmpl w:val="591E68A6"/>
    <w:lvl w:ilvl="0">
      <w:start w:val="1"/>
      <w:numFmt w:val="decimal"/>
      <w:lvlText w:val="%1"/>
      <w:lvlJc w:val="right"/>
      <w:pPr>
        <w:tabs>
          <w:tab w:val="num" w:pos="227"/>
        </w:tabs>
        <w:ind w:left="227" w:hanging="227"/>
      </w:pPr>
    </w:lvl>
    <w:lvl w:ilvl="1">
      <w:start w:val="1"/>
      <w:numFmt w:val="lowerLetter"/>
      <w:lvlText w:val="%2"/>
      <w:lvlJc w:val="right"/>
      <w:pPr>
        <w:tabs>
          <w:tab w:val="num" w:pos="227"/>
        </w:tabs>
        <w:ind w:left="227" w:hanging="227"/>
      </w:pPr>
    </w:lvl>
    <w:lvl w:ilvl="2">
      <w:start w:val="1"/>
      <w:numFmt w:val="bullet"/>
      <w:suff w:val="space"/>
      <w:lvlText w:val=""/>
      <w:lvlJc w:val="left"/>
      <w:pPr>
        <w:ind w:left="227" w:firstLine="0"/>
      </w:pPr>
      <w:rPr>
        <w:rFonts w:ascii="Symbol" w:hAnsi="Symbol" w:hint="default"/>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60"/>
        </w:tabs>
        <w:ind w:left="227" w:hanging="227"/>
      </w:pPr>
    </w:lvl>
  </w:abstractNum>
  <w:abstractNum w:abstractNumId="8">
    <w:nsid w:val="5C223C49"/>
    <w:multiLevelType w:val="hybridMultilevel"/>
    <w:tmpl w:val="EFD44DF2"/>
    <w:lvl w:ilvl="0" w:tplc="5B705E3E">
      <w:start w:val="1"/>
      <w:numFmt w:val="bullet"/>
      <w:pStyle w:val="Puntje"/>
      <w:lvlText w:val="-"/>
      <w:lvlJc w:val="left"/>
      <w:pPr>
        <w:tabs>
          <w:tab w:val="num" w:pos="431"/>
        </w:tabs>
        <w:ind w:left="862" w:hanging="431"/>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68D046F2"/>
    <w:multiLevelType w:val="hybridMultilevel"/>
    <w:tmpl w:val="A13ADD92"/>
    <w:lvl w:ilvl="0" w:tplc="2808172C">
      <w:start w:val="1"/>
      <w:numFmt w:val="bullet"/>
      <w:lvlText w:val=""/>
      <w:lvlJc w:val="left"/>
      <w:pPr>
        <w:tabs>
          <w:tab w:val="num" w:pos="340"/>
        </w:tabs>
        <w:ind w:left="340" w:hanging="340"/>
      </w:pPr>
      <w:rPr>
        <w:rFonts w:ascii="Wingdings" w:hAnsi="Wingdings" w:hint="default"/>
      </w:rPr>
    </w:lvl>
    <w:lvl w:ilvl="1" w:tplc="8D403E24">
      <w:start w:val="1"/>
      <w:numFmt w:val="bullet"/>
      <w:lvlText w:val=""/>
      <w:lvlJc w:val="left"/>
      <w:pPr>
        <w:tabs>
          <w:tab w:val="num" w:pos="142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AA265B2"/>
    <w:multiLevelType w:val="hybridMultilevel"/>
    <w:tmpl w:val="787A7B22"/>
    <w:lvl w:ilvl="0" w:tplc="FAF090BA">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7AA96C4A"/>
    <w:multiLevelType w:val="hybridMultilevel"/>
    <w:tmpl w:val="56AA2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BBA587C"/>
    <w:multiLevelType w:val="multilevel"/>
    <w:tmpl w:val="BB12259E"/>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3"/>
  </w:num>
  <w:num w:numId="5">
    <w:abstractNumId w:val="7"/>
  </w:num>
  <w:num w:numId="6">
    <w:abstractNumId w:val="7"/>
  </w:num>
  <w:num w:numId="7">
    <w:abstractNumId w:val="7"/>
  </w:num>
  <w:num w:numId="8">
    <w:abstractNumId w:val="1"/>
  </w:num>
  <w:num w:numId="9">
    <w:abstractNumId w:val="1"/>
  </w:num>
  <w:num w:numId="10">
    <w:abstractNumId w:val="1"/>
  </w:num>
  <w:num w:numId="11">
    <w:abstractNumId w:val="1"/>
  </w:num>
  <w:num w:numId="12">
    <w:abstractNumId w:val="8"/>
  </w:num>
  <w:num w:numId="13">
    <w:abstractNumId w:val="5"/>
  </w:num>
  <w:num w:numId="14">
    <w:abstractNumId w:val="6"/>
  </w:num>
  <w:num w:numId="15">
    <w:abstractNumId w:val="0"/>
  </w:num>
  <w:num w:numId="16">
    <w:abstractNumId w:val="10"/>
  </w:num>
  <w:num w:numId="17">
    <w:abstractNumId w:val="9"/>
  </w:num>
  <w:num w:numId="18">
    <w:abstractNumId w:val="12"/>
  </w:num>
  <w:num w:numId="19">
    <w:abstractNumId w:val="2"/>
  </w:num>
  <w:num w:numId="20">
    <w:abstractNumId w:val="1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001"/>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39937"/>
  </w:hdrShapeDefaults>
  <w:footnotePr>
    <w:footnote w:id="-1"/>
    <w:footnote w:id="0"/>
  </w:footnotePr>
  <w:endnotePr>
    <w:endnote w:id="-1"/>
    <w:endnote w:id="0"/>
  </w:endnotePr>
  <w:compat/>
  <w:rsids>
    <w:rsidRoot w:val="008B306E"/>
    <w:rsid w:val="00016375"/>
    <w:rsid w:val="00042164"/>
    <w:rsid w:val="00042413"/>
    <w:rsid w:val="00060A12"/>
    <w:rsid w:val="0007069E"/>
    <w:rsid w:val="000E3340"/>
    <w:rsid w:val="00130AC4"/>
    <w:rsid w:val="001D613B"/>
    <w:rsid w:val="00231CE3"/>
    <w:rsid w:val="00236306"/>
    <w:rsid w:val="002448A1"/>
    <w:rsid w:val="0025784C"/>
    <w:rsid w:val="0029429C"/>
    <w:rsid w:val="003104AD"/>
    <w:rsid w:val="003538C8"/>
    <w:rsid w:val="003A2BE3"/>
    <w:rsid w:val="003E35DB"/>
    <w:rsid w:val="003F21FB"/>
    <w:rsid w:val="00406D2B"/>
    <w:rsid w:val="00431B93"/>
    <w:rsid w:val="004448DA"/>
    <w:rsid w:val="004469C8"/>
    <w:rsid w:val="0045486D"/>
    <w:rsid w:val="004D1134"/>
    <w:rsid w:val="004D758C"/>
    <w:rsid w:val="004E40B3"/>
    <w:rsid w:val="00504AE7"/>
    <w:rsid w:val="00526D18"/>
    <w:rsid w:val="0056514A"/>
    <w:rsid w:val="00624BE7"/>
    <w:rsid w:val="00652F56"/>
    <w:rsid w:val="0068151B"/>
    <w:rsid w:val="006F0C56"/>
    <w:rsid w:val="006F4534"/>
    <w:rsid w:val="006F4799"/>
    <w:rsid w:val="007159D3"/>
    <w:rsid w:val="0076097D"/>
    <w:rsid w:val="00761AB9"/>
    <w:rsid w:val="00796ECC"/>
    <w:rsid w:val="007B3B7E"/>
    <w:rsid w:val="0082118D"/>
    <w:rsid w:val="00827F50"/>
    <w:rsid w:val="008B306E"/>
    <w:rsid w:val="008C3C72"/>
    <w:rsid w:val="008F413E"/>
    <w:rsid w:val="009764A3"/>
    <w:rsid w:val="009C650A"/>
    <w:rsid w:val="00A24291"/>
    <w:rsid w:val="00A746CC"/>
    <w:rsid w:val="00A82CDD"/>
    <w:rsid w:val="00B4281E"/>
    <w:rsid w:val="00C14286"/>
    <w:rsid w:val="00C4631D"/>
    <w:rsid w:val="00C46F08"/>
    <w:rsid w:val="00C56E38"/>
    <w:rsid w:val="00D463D3"/>
    <w:rsid w:val="00DD0C31"/>
    <w:rsid w:val="00DE2E13"/>
    <w:rsid w:val="00E266FE"/>
    <w:rsid w:val="00E46061"/>
    <w:rsid w:val="00E63582"/>
    <w:rsid w:val="00E84084"/>
    <w:rsid w:val="00F11A17"/>
    <w:rsid w:val="00FA2AD2"/>
    <w:rsid w:val="00FD7DD0"/>
    <w:rsid w:val="00FE33FE"/>
    <w:rsid w:val="00FF04C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069E"/>
    <w:pPr>
      <w:spacing w:line="280" w:lineRule="atLeast"/>
    </w:pPr>
    <w:rPr>
      <w:rFonts w:ascii="Verdana" w:hAnsi="Verdana"/>
    </w:rPr>
  </w:style>
  <w:style w:type="paragraph" w:styleId="Kop1">
    <w:name w:val="heading 1"/>
    <w:basedOn w:val="Standaard"/>
    <w:next w:val="StandaardInspring"/>
    <w:qFormat/>
    <w:rsid w:val="0007069E"/>
    <w:pPr>
      <w:keepNext/>
      <w:numPr>
        <w:numId w:val="11"/>
      </w:numPr>
      <w:tabs>
        <w:tab w:val="clear" w:pos="432"/>
        <w:tab w:val="left" w:pos="431"/>
        <w:tab w:val="left" w:pos="862"/>
        <w:tab w:val="left" w:pos="1293"/>
      </w:tabs>
      <w:spacing w:before="280" w:after="60"/>
      <w:ind w:left="431" w:hanging="431"/>
      <w:outlineLvl w:val="0"/>
    </w:pPr>
    <w:rPr>
      <w:b/>
    </w:rPr>
  </w:style>
  <w:style w:type="paragraph" w:styleId="Kop2">
    <w:name w:val="heading 2"/>
    <w:basedOn w:val="Standaard"/>
    <w:next w:val="StandaardInspring"/>
    <w:qFormat/>
    <w:rsid w:val="0007069E"/>
    <w:pPr>
      <w:keepNext/>
      <w:numPr>
        <w:ilvl w:val="1"/>
        <w:numId w:val="11"/>
      </w:numPr>
      <w:tabs>
        <w:tab w:val="left" w:pos="431"/>
        <w:tab w:val="left" w:pos="862"/>
        <w:tab w:val="left" w:pos="1293"/>
      </w:tabs>
      <w:spacing w:before="60" w:after="60"/>
      <w:ind w:left="431"/>
      <w:outlineLvl w:val="1"/>
    </w:pPr>
  </w:style>
  <w:style w:type="paragraph" w:styleId="Kop3">
    <w:name w:val="heading 3"/>
    <w:basedOn w:val="Standaard"/>
    <w:next w:val="StandaardInspring"/>
    <w:qFormat/>
    <w:rsid w:val="0007069E"/>
    <w:pPr>
      <w:keepNext/>
      <w:numPr>
        <w:ilvl w:val="2"/>
        <w:numId w:val="11"/>
      </w:numPr>
      <w:tabs>
        <w:tab w:val="left" w:pos="431"/>
        <w:tab w:val="left" w:pos="862"/>
        <w:tab w:val="left" w:pos="1293"/>
      </w:tabs>
      <w:spacing w:before="60"/>
      <w:ind w:left="431"/>
      <w:outlineLvl w:val="2"/>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8regel14Char">
    <w:name w:val="Standaard8regel14 Char"/>
    <w:basedOn w:val="Standaardalinea-lettertype"/>
    <w:link w:val="Standaard8regel14"/>
    <w:rsid w:val="0007069E"/>
    <w:rPr>
      <w:rFonts w:ascii="Verdana" w:hAnsi="Verdana" w:cs="Tahoma"/>
      <w:sz w:val="16"/>
      <w:lang w:val="nl-NL" w:eastAsia="nl-NL" w:bidi="ar-SA"/>
    </w:rPr>
  </w:style>
  <w:style w:type="paragraph" w:customStyle="1" w:styleId="Standaard8regel14">
    <w:name w:val="Standaard8regel14"/>
    <w:basedOn w:val="Standaard"/>
    <w:link w:val="Standaard8regel14Char"/>
    <w:rsid w:val="0007069E"/>
    <w:rPr>
      <w:rFonts w:cs="Tahoma"/>
      <w:sz w:val="16"/>
    </w:rPr>
  </w:style>
  <w:style w:type="paragraph" w:styleId="Koptekst">
    <w:name w:val="header"/>
    <w:basedOn w:val="Standaard"/>
    <w:rsid w:val="0007069E"/>
    <w:pPr>
      <w:tabs>
        <w:tab w:val="center" w:pos="4536"/>
        <w:tab w:val="right" w:pos="9072"/>
      </w:tabs>
    </w:pPr>
  </w:style>
  <w:style w:type="paragraph" w:styleId="Voettekst">
    <w:name w:val="footer"/>
    <w:basedOn w:val="Standaard"/>
    <w:rsid w:val="0007069E"/>
    <w:pPr>
      <w:tabs>
        <w:tab w:val="center" w:pos="4536"/>
        <w:tab w:val="right" w:pos="9072"/>
      </w:tabs>
    </w:pPr>
  </w:style>
  <w:style w:type="paragraph" w:customStyle="1" w:styleId="Standaard1">
    <w:name w:val="Standaard1"/>
    <w:basedOn w:val="Standaard"/>
    <w:rsid w:val="0007069E"/>
    <w:pPr>
      <w:spacing w:line="240" w:lineRule="auto"/>
    </w:pPr>
    <w:rPr>
      <w:color w:val="FFFFFF"/>
      <w:sz w:val="2"/>
    </w:rPr>
  </w:style>
  <w:style w:type="paragraph" w:customStyle="1" w:styleId="Documenttitel">
    <w:name w:val="Documenttitel"/>
    <w:basedOn w:val="Koptekst"/>
    <w:rsid w:val="0007069E"/>
    <w:rPr>
      <w:b/>
      <w:sz w:val="28"/>
    </w:rPr>
  </w:style>
  <w:style w:type="paragraph" w:styleId="Ballontekst">
    <w:name w:val="Balloon Text"/>
    <w:basedOn w:val="Standaard"/>
    <w:semiHidden/>
    <w:rsid w:val="0007069E"/>
    <w:rPr>
      <w:rFonts w:ascii="Tahoma" w:hAnsi="Tahoma"/>
      <w:sz w:val="16"/>
      <w:szCs w:val="16"/>
    </w:rPr>
  </w:style>
  <w:style w:type="paragraph" w:customStyle="1" w:styleId="Standaard8regel14TAV">
    <w:name w:val="Standaard8regel14TAV"/>
    <w:basedOn w:val="Standaard"/>
    <w:rsid w:val="0007069E"/>
    <w:pPr>
      <w:framePr w:w="4649" w:h="1418" w:hRule="exact" w:wrap="around" w:vAnchor="page" w:hAnchor="page" w:x="1419" w:y="3687"/>
      <w:spacing w:before="60" w:after="240"/>
    </w:pPr>
    <w:rPr>
      <w:sz w:val="16"/>
    </w:rPr>
  </w:style>
  <w:style w:type="table" w:styleId="Tabelraster">
    <w:name w:val="Table Grid"/>
    <w:basedOn w:val="Standaardtabel"/>
    <w:rsid w:val="0007069E"/>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tjeInspringtekst">
    <w:name w:val="PuntjeInspringtekst"/>
    <w:basedOn w:val="Standaard"/>
    <w:rsid w:val="0007069E"/>
    <w:pPr>
      <w:ind w:left="862"/>
    </w:pPr>
  </w:style>
  <w:style w:type="paragraph" w:customStyle="1" w:styleId="StandaardInspring">
    <w:name w:val="StandaardInspring"/>
    <w:basedOn w:val="Standaard"/>
    <w:rsid w:val="0007069E"/>
    <w:pPr>
      <w:tabs>
        <w:tab w:val="left" w:pos="862"/>
        <w:tab w:val="left" w:pos="1293"/>
      </w:tabs>
      <w:ind w:left="431"/>
    </w:pPr>
  </w:style>
  <w:style w:type="paragraph" w:customStyle="1" w:styleId="Standaard8regel14Insprom2">
    <w:name w:val="Standaard8regel14Insprom2"/>
    <w:basedOn w:val="Standaard8regel14insprom"/>
    <w:rsid w:val="003104AD"/>
    <w:pPr>
      <w:tabs>
        <w:tab w:val="clear" w:pos="1531"/>
        <w:tab w:val="left" w:pos="1134"/>
      </w:tabs>
      <w:ind w:left="1134" w:hanging="1134"/>
    </w:pPr>
  </w:style>
  <w:style w:type="paragraph" w:customStyle="1" w:styleId="Puntje">
    <w:name w:val="Puntje"/>
    <w:basedOn w:val="Kop3"/>
    <w:rsid w:val="0007069E"/>
    <w:pPr>
      <w:numPr>
        <w:ilvl w:val="0"/>
        <w:numId w:val="12"/>
      </w:numPr>
      <w:tabs>
        <w:tab w:val="clear" w:pos="431"/>
      </w:tabs>
    </w:pPr>
  </w:style>
  <w:style w:type="paragraph" w:customStyle="1" w:styleId="Standaard8regel14Insprom0">
    <w:name w:val="Standaard8regel14Insprom"/>
    <w:basedOn w:val="Standaard8regel14"/>
    <w:rsid w:val="003104AD"/>
    <w:pPr>
      <w:tabs>
        <w:tab w:val="left" w:pos="1531"/>
      </w:tabs>
      <w:ind w:left="1531" w:hanging="1531"/>
    </w:pPr>
  </w:style>
  <w:style w:type="paragraph" w:customStyle="1" w:styleId="Standaard8regel14insprom">
    <w:name w:val="Standaard8regel14insprom"/>
    <w:basedOn w:val="Standaard8regel14"/>
    <w:rsid w:val="0007069E"/>
    <w:pPr>
      <w:tabs>
        <w:tab w:val="left" w:pos="1531"/>
      </w:tabs>
      <w:ind w:left="1531" w:hanging="1531"/>
    </w:pPr>
  </w:style>
  <w:style w:type="paragraph" w:styleId="Geenafstand">
    <w:name w:val="No Spacing"/>
    <w:uiPriority w:val="1"/>
    <w:qFormat/>
    <w:rsid w:val="0076097D"/>
    <w:rPr>
      <w:rFonts w:ascii="Calibri" w:eastAsia="Calibri" w:hAnsi="Calibri"/>
      <w:sz w:val="22"/>
      <w:szCs w:val="22"/>
      <w:lang w:eastAsia="en-US"/>
    </w:rPr>
  </w:style>
  <w:style w:type="paragraph" w:styleId="Lijstalinea">
    <w:name w:val="List Paragraph"/>
    <w:basedOn w:val="Standaard"/>
    <w:uiPriority w:val="34"/>
    <w:qFormat/>
    <w:rsid w:val="00A242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741</Words>
  <Characters>4485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Bijlage</vt:lpstr>
    </vt:vector>
  </TitlesOfParts>
  <Company>Advisie Automatisering</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dc:title>
  <dc:subject/>
  <dc:creator>cduisters</dc:creator>
  <cp:keywords/>
  <cp:lastModifiedBy>pawanis</cp:lastModifiedBy>
  <cp:revision>15</cp:revision>
  <cp:lastPrinted>2011-08-22T14:28:00Z</cp:lastPrinted>
  <dcterms:created xsi:type="dcterms:W3CDTF">2011-08-17T08:44:00Z</dcterms:created>
  <dcterms:modified xsi:type="dcterms:W3CDTF">2011-08-25T12:19:00Z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vt:lpwstr>Bijlage</vt:lpwstr>
  </property>
</Properties>
</file>