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C6" w:rsidRPr="00FC4EDC" w:rsidRDefault="00CB4ECE">
      <w:pPr>
        <w:rPr>
          <w:rFonts w:ascii="Verdana" w:hAnsi="Verdana"/>
          <w:b/>
          <w:color w:val="8DB3E2" w:themeColor="text2" w:themeTint="66"/>
          <w:sz w:val="32"/>
          <w:szCs w:val="32"/>
        </w:rPr>
      </w:pPr>
      <w:r w:rsidRPr="00FC4EDC">
        <w:rPr>
          <w:rFonts w:ascii="Verdana" w:hAnsi="Verdana"/>
          <w:b/>
          <w:color w:val="8DB3E2" w:themeColor="text2" w:themeTint="66"/>
          <w:sz w:val="32"/>
          <w:szCs w:val="32"/>
        </w:rPr>
        <w:t xml:space="preserve">Wetswijziging curatele, bewind en mentorschap </w:t>
      </w:r>
    </w:p>
    <w:p w:rsidR="00CE7188" w:rsidRDefault="00CE7188">
      <w:pPr>
        <w:rPr>
          <w:rFonts w:ascii="Verdana" w:hAnsi="Verdana"/>
          <w:b/>
          <w:color w:val="8DB3E2" w:themeColor="text2" w:themeTint="66"/>
          <w:sz w:val="28"/>
          <w:szCs w:val="28"/>
        </w:rPr>
      </w:pPr>
    </w:p>
    <w:p w:rsidR="00CE7188" w:rsidRDefault="004557FC" w:rsidP="00CE7188">
      <w:pPr>
        <w:rPr>
          <w:rFonts w:ascii="Verdana" w:hAnsi="Verdana"/>
          <w:b/>
          <w:color w:val="8DB3E2" w:themeColor="text2" w:themeTint="66"/>
          <w:sz w:val="28"/>
          <w:szCs w:val="28"/>
        </w:rPr>
      </w:pPr>
      <w:r w:rsidRPr="00CB4ECE">
        <w:rPr>
          <w:rFonts w:ascii="Verdana" w:hAnsi="Verdana"/>
          <w:b/>
          <w:color w:val="8DB3E2" w:themeColor="text2" w:themeTint="66"/>
          <w:sz w:val="28"/>
          <w:szCs w:val="28"/>
        </w:rPr>
        <w:t>Algemeen</w:t>
      </w:r>
    </w:p>
    <w:p w:rsidR="00CE7188" w:rsidRPr="00EB2BC6" w:rsidRDefault="001216BA" w:rsidP="00CE7188">
      <w:pPr>
        <w:rPr>
          <w:rFonts w:ascii="Verdana" w:hAnsi="Verdana"/>
          <w:sz w:val="20"/>
          <w:szCs w:val="20"/>
        </w:rPr>
      </w:pPr>
      <w:r w:rsidRPr="008B22D3">
        <w:rPr>
          <w:rFonts w:ascii="Verdana" w:hAnsi="Verdana"/>
          <w:sz w:val="20"/>
          <w:szCs w:val="20"/>
        </w:rPr>
        <w:t xml:space="preserve">Het wetsvoorstel wijziging curatele, beschermingsbewind en mentorschap bevat aanvullingen en wijzigingen van de regels omtrent  curatele, beschermingsbewind en mentorschap. De </w:t>
      </w:r>
      <w:r w:rsidR="00B92270">
        <w:rPr>
          <w:rFonts w:ascii="Verdana" w:hAnsi="Verdana"/>
          <w:sz w:val="20"/>
          <w:szCs w:val="20"/>
        </w:rPr>
        <w:t>w</w:t>
      </w:r>
      <w:r w:rsidRPr="008B22D3">
        <w:rPr>
          <w:rFonts w:ascii="Verdana" w:hAnsi="Verdana"/>
          <w:sz w:val="20"/>
          <w:szCs w:val="20"/>
        </w:rPr>
        <w:t>etswijziging heeft als doel ervoor te zorgen dat mensen die onvoldoende zelfredzaam zijn voldoende toegang hebben tot curatele, beschermingsbewind en mentorschap en dat deze instrumenten zodanig functioneren dat de mensen die vertegenwoordigd worden adequaat worden beschermd.</w:t>
      </w:r>
      <w:r w:rsidR="00CE7188" w:rsidRPr="00CE7188">
        <w:rPr>
          <w:rFonts w:ascii="Verdana" w:hAnsi="Verdana"/>
          <w:sz w:val="20"/>
          <w:szCs w:val="20"/>
        </w:rPr>
        <w:t xml:space="preserve"> </w:t>
      </w:r>
      <w:r w:rsidR="00CE7188" w:rsidRPr="00EB2BC6">
        <w:rPr>
          <w:rFonts w:ascii="Verdana" w:hAnsi="Verdana"/>
          <w:sz w:val="20"/>
          <w:szCs w:val="20"/>
        </w:rPr>
        <w:t>De kantonrechter kan, op verzoek, iemand aanstellen die de belangen van de betrokkene behartigt.</w:t>
      </w:r>
    </w:p>
    <w:p w:rsidR="00CE7188" w:rsidRPr="00DC0EB5" w:rsidRDefault="00CE7188" w:rsidP="00CE7188">
      <w:pPr>
        <w:pStyle w:val="mtop"/>
        <w:rPr>
          <w:rFonts w:ascii="Verdana" w:hAnsi="Verdana"/>
          <w:sz w:val="20"/>
          <w:szCs w:val="20"/>
        </w:rPr>
      </w:pPr>
      <w:r w:rsidRPr="00EB2BC6">
        <w:rPr>
          <w:rFonts w:ascii="Verdana" w:hAnsi="Verdana"/>
          <w:sz w:val="20"/>
          <w:szCs w:val="20"/>
        </w:rPr>
        <w:t xml:space="preserve">Met dit voorstel verdwijnt "Verkwisting" als grond voor curatele en wordt het samen met het hebben van "problematische schulden" een grond voor beschermingsbewind. Drugsmisbruik wordt een grond voor ondercuratelestelling. De kring van verzoekers tot instelling en opheffing van de beschermingsmaatregel wordt uitgebreid en de beloning van de curator, bewindvoerder en mentor verhoogd. Daarnaast moeten de vertegenwoordigers voortaan voldoen aan een aantal  kwaliteitseisen. Het voldoen aan deze eisen kan worden getoetst door een accountant of andere deskundige. De kantonrechter krijgt de bevoegdheid tot inzage in de kantoor- en privéadministratie van </w:t>
      </w:r>
      <w:r w:rsidRPr="00DC0EB5">
        <w:rPr>
          <w:rFonts w:ascii="Verdana" w:hAnsi="Verdana"/>
          <w:sz w:val="20"/>
          <w:szCs w:val="20"/>
        </w:rPr>
        <w:t>de vertegenwoordiger.  </w:t>
      </w:r>
    </w:p>
    <w:p w:rsidR="00CE7188" w:rsidRPr="00EB2BC6" w:rsidRDefault="00CE7188" w:rsidP="00A65C28">
      <w:pPr>
        <w:spacing w:before="100" w:beforeAutospacing="1" w:after="100" w:afterAutospacing="1"/>
        <w:ind w:left="567"/>
        <w:rPr>
          <w:rFonts w:ascii="Verdana" w:eastAsia="Times New Roman" w:hAnsi="Verdana" w:cs="Times New Roman"/>
          <w:sz w:val="20"/>
          <w:szCs w:val="20"/>
          <w:lang w:eastAsia="nl-NL"/>
        </w:rPr>
      </w:pPr>
      <w:r w:rsidRPr="00EB2BC6">
        <w:rPr>
          <w:rFonts w:ascii="Verdana" w:eastAsia="Times New Roman" w:hAnsi="Verdana" w:cs="Times New Roman"/>
          <w:sz w:val="20"/>
          <w:szCs w:val="20"/>
          <w:lang w:eastAsia="nl-NL"/>
        </w:rPr>
        <w:t>Curatele : een regeling ter bescherming van meerderjarigen die hun belangen van vermogensrechterlijke en/of van immateriële aard zelf niet of onvoldoende kunnen behartigen, zoals mensen met een verstandelijke beperking of een verslaving of dementerende ouderen </w:t>
      </w:r>
    </w:p>
    <w:p w:rsidR="00CE7188" w:rsidRPr="00EB2BC6" w:rsidRDefault="00CE7188" w:rsidP="00A65C28">
      <w:pPr>
        <w:spacing w:before="100" w:beforeAutospacing="1" w:after="100" w:afterAutospacing="1"/>
        <w:ind w:left="567"/>
        <w:rPr>
          <w:rFonts w:ascii="Verdana" w:eastAsia="Times New Roman" w:hAnsi="Verdana" w:cs="Times New Roman"/>
          <w:sz w:val="20"/>
          <w:szCs w:val="20"/>
          <w:lang w:eastAsia="nl-NL"/>
        </w:rPr>
      </w:pPr>
      <w:r w:rsidRPr="00EB2BC6">
        <w:rPr>
          <w:rFonts w:ascii="Verdana" w:eastAsia="Times New Roman" w:hAnsi="Verdana" w:cs="Times New Roman"/>
          <w:sz w:val="20"/>
          <w:szCs w:val="20"/>
          <w:lang w:eastAsia="nl-NL"/>
        </w:rPr>
        <w:t>Beschermingsbewind : een regeling met betrekking tot geld en goed van een persoon, of slechts tot bepaalde vermogensrechtelijke belangen </w:t>
      </w:r>
    </w:p>
    <w:p w:rsidR="00CE7188" w:rsidRPr="00EB2BC6" w:rsidRDefault="00CE7188" w:rsidP="00A65C28">
      <w:pPr>
        <w:spacing w:before="100" w:beforeAutospacing="1" w:after="100" w:afterAutospacing="1"/>
        <w:ind w:left="567"/>
        <w:rPr>
          <w:rFonts w:ascii="Verdana" w:hAnsi="Verdana"/>
          <w:sz w:val="20"/>
          <w:szCs w:val="20"/>
        </w:rPr>
      </w:pPr>
      <w:r w:rsidRPr="00EB2BC6">
        <w:rPr>
          <w:rFonts w:ascii="Verdana" w:eastAsia="Times New Roman" w:hAnsi="Verdana" w:cs="Times New Roman"/>
          <w:sz w:val="20"/>
          <w:szCs w:val="20"/>
          <w:lang w:eastAsia="nl-NL"/>
        </w:rPr>
        <w:t>Mentorschap : is een regeling ter bescherming van belangen van persoonlijke aard, in het bijzonder de verzorging, verpleging, behandeling en begeleiding.</w:t>
      </w:r>
    </w:p>
    <w:p w:rsidR="001339DC" w:rsidRPr="008B22D3" w:rsidRDefault="001216BA">
      <w:pPr>
        <w:rPr>
          <w:rFonts w:ascii="Verdana" w:hAnsi="Verdana"/>
          <w:sz w:val="20"/>
          <w:szCs w:val="20"/>
        </w:rPr>
      </w:pPr>
      <w:r w:rsidRPr="008B22D3">
        <w:rPr>
          <w:rFonts w:ascii="Verdana" w:hAnsi="Verdana"/>
          <w:sz w:val="20"/>
          <w:szCs w:val="20"/>
        </w:rPr>
        <w:t>Belangrijke uitgangspunten</w:t>
      </w:r>
      <w:r w:rsidR="008E3ADD">
        <w:rPr>
          <w:rFonts w:ascii="Verdana" w:hAnsi="Verdana"/>
          <w:sz w:val="20"/>
          <w:szCs w:val="20"/>
        </w:rPr>
        <w:t xml:space="preserve"> </w:t>
      </w:r>
      <w:r w:rsidRPr="008B22D3">
        <w:rPr>
          <w:rFonts w:ascii="Verdana" w:hAnsi="Verdana"/>
          <w:sz w:val="20"/>
          <w:szCs w:val="20"/>
        </w:rPr>
        <w:t>zijn onder anderen:</w:t>
      </w:r>
    </w:p>
    <w:p w:rsidR="001216BA" w:rsidRPr="008B22D3" w:rsidRDefault="001216BA">
      <w:pPr>
        <w:rPr>
          <w:rFonts w:ascii="Verdana" w:hAnsi="Verdana"/>
          <w:sz w:val="20"/>
          <w:szCs w:val="20"/>
        </w:rPr>
      </w:pPr>
      <w:r w:rsidRPr="008B22D3">
        <w:rPr>
          <w:rFonts w:ascii="Verdana" w:hAnsi="Verdana"/>
          <w:sz w:val="20"/>
          <w:szCs w:val="20"/>
        </w:rPr>
        <w:t>1. de maatregel is passend en bevordert, waar mogelijk, de zelfredzaamheid van betrokkene</w:t>
      </w:r>
    </w:p>
    <w:p w:rsidR="001216BA" w:rsidRPr="008B22D3" w:rsidRDefault="001216BA">
      <w:pPr>
        <w:rPr>
          <w:rFonts w:ascii="Verdana" w:hAnsi="Verdana"/>
          <w:sz w:val="20"/>
          <w:szCs w:val="20"/>
        </w:rPr>
      </w:pPr>
      <w:r w:rsidRPr="008B22D3">
        <w:rPr>
          <w:rFonts w:ascii="Verdana" w:hAnsi="Verdana"/>
          <w:sz w:val="20"/>
          <w:szCs w:val="20"/>
        </w:rPr>
        <w:t>2. de betrokkenheid van personen in nabije omgeving wordt ondersteund</w:t>
      </w:r>
    </w:p>
    <w:p w:rsidR="001216BA" w:rsidRPr="008B22D3" w:rsidRDefault="001216BA">
      <w:pPr>
        <w:rPr>
          <w:rFonts w:ascii="Verdana" w:hAnsi="Verdana"/>
          <w:sz w:val="20"/>
          <w:szCs w:val="20"/>
        </w:rPr>
      </w:pPr>
      <w:r w:rsidRPr="008B22D3">
        <w:rPr>
          <w:rFonts w:ascii="Verdana" w:hAnsi="Verdana"/>
          <w:sz w:val="20"/>
          <w:szCs w:val="20"/>
        </w:rPr>
        <w:t>3. de kwaliteit van de wettelijke vertegenwoordigers wordt gewaarborgd.</w:t>
      </w:r>
    </w:p>
    <w:p w:rsidR="001216BA" w:rsidRPr="008B22D3" w:rsidRDefault="001216BA">
      <w:pPr>
        <w:rPr>
          <w:rFonts w:ascii="Verdana" w:hAnsi="Verdana"/>
          <w:sz w:val="20"/>
          <w:szCs w:val="20"/>
        </w:rPr>
      </w:pPr>
    </w:p>
    <w:p w:rsidR="001216BA" w:rsidRPr="008B22D3" w:rsidRDefault="001216BA">
      <w:pPr>
        <w:rPr>
          <w:rFonts w:ascii="Verdana" w:hAnsi="Verdana"/>
          <w:sz w:val="20"/>
          <w:szCs w:val="20"/>
        </w:rPr>
      </w:pPr>
      <w:r w:rsidRPr="008B22D3">
        <w:rPr>
          <w:rFonts w:ascii="Verdana" w:hAnsi="Verdana"/>
          <w:sz w:val="20"/>
          <w:szCs w:val="20"/>
        </w:rPr>
        <w:t>Ad 1. Uitgangspunt is dat een maatregel niet verder ingrijpt dan noodzakelijk. Dit betekent dat bij het</w:t>
      </w:r>
      <w:r w:rsidR="008B22D3">
        <w:rPr>
          <w:rFonts w:ascii="Verdana" w:hAnsi="Verdana"/>
          <w:sz w:val="20"/>
          <w:szCs w:val="20"/>
        </w:rPr>
        <w:t xml:space="preserve"> verzoek tot instelling van een maatregel</w:t>
      </w:r>
      <w:r w:rsidRPr="008B22D3">
        <w:rPr>
          <w:rFonts w:ascii="Verdana" w:hAnsi="Verdana"/>
          <w:sz w:val="20"/>
          <w:szCs w:val="20"/>
        </w:rPr>
        <w:t xml:space="preserve"> de kantonrechter de meest passende maatregel oplegt. In het wetsvoorstel heeft dit in de eerste plaats geleid tot wijziging van de gronden van curatel</w:t>
      </w:r>
      <w:r w:rsidR="004557FC" w:rsidRPr="008B22D3">
        <w:rPr>
          <w:rFonts w:ascii="Verdana" w:hAnsi="Verdana"/>
          <w:sz w:val="20"/>
          <w:szCs w:val="20"/>
        </w:rPr>
        <w:t>e en</w:t>
      </w:r>
      <w:r w:rsidRPr="008B22D3">
        <w:rPr>
          <w:rFonts w:ascii="Verdana" w:hAnsi="Verdana"/>
          <w:sz w:val="20"/>
          <w:szCs w:val="20"/>
        </w:rPr>
        <w:t xml:space="preserve"> beschermingsbewind. Ook bij zijn taakuitoefening bevordert de curator, bewindvoerder en  mentor –als ‘goed vertegenwoordiger’- waar mogelijk de zelfredzaamheid van betrokkene. Daarnaast betekent het </w:t>
      </w:r>
      <w:r w:rsidR="004557FC" w:rsidRPr="008B22D3">
        <w:rPr>
          <w:rFonts w:ascii="Verdana" w:hAnsi="Verdana"/>
          <w:sz w:val="20"/>
          <w:szCs w:val="20"/>
        </w:rPr>
        <w:t>uitgangspunt</w:t>
      </w:r>
      <w:r w:rsidRPr="008B22D3">
        <w:rPr>
          <w:rFonts w:ascii="Verdana" w:hAnsi="Verdana"/>
          <w:sz w:val="20"/>
          <w:szCs w:val="20"/>
        </w:rPr>
        <w:t xml:space="preserve"> dat, waar mogelijk, de maatregel niet van onbepaalde duur zal zijn.  De wet voorziet daarom in curatele voor bepaalde tijd</w:t>
      </w:r>
      <w:r w:rsidR="004557FC" w:rsidRPr="008B22D3">
        <w:rPr>
          <w:rFonts w:ascii="Verdana" w:hAnsi="Verdana"/>
          <w:sz w:val="20"/>
          <w:szCs w:val="20"/>
        </w:rPr>
        <w:t xml:space="preserve"> en voorts in uitbreiding van de mogelijkheden tot opheffing van en in periodieke evaluatie van de noodzaak van de drie maatregelen.</w:t>
      </w:r>
    </w:p>
    <w:p w:rsidR="004557FC" w:rsidRPr="008B22D3" w:rsidRDefault="004557FC">
      <w:pPr>
        <w:rPr>
          <w:rFonts w:ascii="Verdana" w:hAnsi="Verdana"/>
          <w:sz w:val="20"/>
          <w:szCs w:val="20"/>
        </w:rPr>
      </w:pPr>
    </w:p>
    <w:p w:rsidR="004557FC" w:rsidRPr="008B22D3" w:rsidRDefault="004557FC">
      <w:pPr>
        <w:rPr>
          <w:rFonts w:ascii="Verdana" w:hAnsi="Verdana"/>
          <w:sz w:val="20"/>
          <w:szCs w:val="20"/>
        </w:rPr>
      </w:pPr>
      <w:r w:rsidRPr="008B22D3">
        <w:rPr>
          <w:rFonts w:ascii="Verdana" w:hAnsi="Verdana"/>
          <w:sz w:val="20"/>
          <w:szCs w:val="20"/>
        </w:rPr>
        <w:t>Ad2.  De wet voorziet in een uitbreiding van de kring van nabije personen die bevoegdheden toekomen en in uitbreiding van de bevoegdheden van deze nabije personen</w:t>
      </w:r>
    </w:p>
    <w:p w:rsidR="004557FC" w:rsidRPr="008B22D3" w:rsidRDefault="004557FC">
      <w:pPr>
        <w:rPr>
          <w:rFonts w:ascii="Verdana" w:hAnsi="Verdana"/>
          <w:sz w:val="20"/>
          <w:szCs w:val="20"/>
        </w:rPr>
      </w:pPr>
    </w:p>
    <w:p w:rsidR="004557FC" w:rsidRPr="008B22D3" w:rsidRDefault="004557FC">
      <w:pPr>
        <w:rPr>
          <w:rFonts w:ascii="Verdana" w:hAnsi="Verdana"/>
          <w:sz w:val="20"/>
          <w:szCs w:val="20"/>
        </w:rPr>
      </w:pPr>
      <w:r w:rsidRPr="008B22D3">
        <w:rPr>
          <w:rFonts w:ascii="Verdana" w:hAnsi="Verdana"/>
          <w:sz w:val="20"/>
          <w:szCs w:val="20"/>
        </w:rPr>
        <w:lastRenderedPageBreak/>
        <w:t>Ad3. Indien het gaat om professionele of vrijwillige vertegenwoordigers (dus niet personen uit de nabije omgeving) dan dienen zij op grond van de wet aan bepaalde kwaliteitseisen te voldoen (dit zal jaarlijks worden getoetst.</w:t>
      </w:r>
    </w:p>
    <w:p w:rsidR="004557FC" w:rsidRDefault="004557FC">
      <w:pPr>
        <w:rPr>
          <w:rFonts w:ascii="Verdana" w:hAnsi="Verdana"/>
          <w:sz w:val="20"/>
          <w:szCs w:val="20"/>
        </w:rPr>
      </w:pPr>
      <w:r w:rsidRPr="008B22D3">
        <w:rPr>
          <w:rFonts w:ascii="Verdana" w:hAnsi="Verdana"/>
          <w:sz w:val="20"/>
          <w:szCs w:val="20"/>
        </w:rPr>
        <w:t>Tot slot bevat de wet waar mogelijk dezelfde regels voor curatele, beschermingsbewind en mentorschap, tenzij er rechtvaardiging is om af te wijken. Hiermee wordt beoogd de eenduidigheid en consistentie van de wetgeving te bevorderen.</w:t>
      </w:r>
    </w:p>
    <w:p w:rsidR="00CE7188" w:rsidRDefault="00CE7188">
      <w:pPr>
        <w:rPr>
          <w:rFonts w:ascii="Verdana" w:hAnsi="Verdana"/>
          <w:sz w:val="20"/>
          <w:szCs w:val="20"/>
        </w:rPr>
      </w:pPr>
    </w:p>
    <w:p w:rsidR="004557FC" w:rsidRPr="008B22D3" w:rsidRDefault="004557FC">
      <w:pPr>
        <w:rPr>
          <w:rFonts w:ascii="Verdana" w:hAnsi="Verdana"/>
          <w:sz w:val="20"/>
          <w:szCs w:val="20"/>
        </w:rPr>
      </w:pPr>
    </w:p>
    <w:p w:rsidR="004557FC" w:rsidRPr="00CB4ECE" w:rsidRDefault="004557FC">
      <w:pPr>
        <w:rPr>
          <w:rFonts w:ascii="Verdana" w:hAnsi="Verdana"/>
          <w:b/>
          <w:color w:val="8DB3E2" w:themeColor="text2" w:themeTint="66"/>
          <w:sz w:val="28"/>
          <w:szCs w:val="28"/>
        </w:rPr>
      </w:pPr>
      <w:r w:rsidRPr="00CB4ECE">
        <w:rPr>
          <w:rFonts w:ascii="Verdana" w:hAnsi="Verdana"/>
          <w:b/>
          <w:color w:val="8DB3E2" w:themeColor="text2" w:themeTint="66"/>
          <w:sz w:val="28"/>
          <w:szCs w:val="28"/>
        </w:rPr>
        <w:t>Belangrijkste wijzingen</w:t>
      </w:r>
    </w:p>
    <w:p w:rsidR="008B22D3" w:rsidRPr="008B22D3" w:rsidRDefault="008B22D3">
      <w:pPr>
        <w:rPr>
          <w:rFonts w:ascii="Verdana" w:hAnsi="Verdana"/>
          <w:sz w:val="20"/>
          <w:szCs w:val="20"/>
        </w:rPr>
      </w:pPr>
    </w:p>
    <w:p w:rsidR="008B22D3" w:rsidRPr="00FC4EDC" w:rsidRDefault="008B22D3">
      <w:pPr>
        <w:rPr>
          <w:rFonts w:ascii="Verdana" w:hAnsi="Verdana"/>
          <w:b/>
          <w:color w:val="8DB3E2" w:themeColor="text2" w:themeTint="66"/>
          <w:sz w:val="20"/>
          <w:szCs w:val="20"/>
        </w:rPr>
      </w:pPr>
      <w:r w:rsidRPr="00FC4EDC">
        <w:rPr>
          <w:rFonts w:ascii="Verdana" w:hAnsi="Verdana"/>
          <w:b/>
          <w:color w:val="8DB3E2" w:themeColor="text2" w:themeTint="66"/>
          <w:sz w:val="20"/>
          <w:szCs w:val="20"/>
        </w:rPr>
        <w:t>Wijziging van de gronden voor curatele en beschermingsbewind en publicatieplicht</w:t>
      </w:r>
    </w:p>
    <w:p w:rsidR="008B22D3" w:rsidRDefault="00D95C96">
      <w:pPr>
        <w:rPr>
          <w:rFonts w:ascii="Verdana" w:hAnsi="Verdana"/>
          <w:sz w:val="20"/>
          <w:szCs w:val="20"/>
        </w:rPr>
      </w:pPr>
      <w:r>
        <w:rPr>
          <w:rFonts w:ascii="Verdana" w:hAnsi="Verdana"/>
          <w:sz w:val="20"/>
          <w:szCs w:val="20"/>
        </w:rPr>
        <w:t xml:space="preserve">Curatele: </w:t>
      </w:r>
      <w:r w:rsidR="00EB0462">
        <w:rPr>
          <w:rFonts w:ascii="Verdana" w:hAnsi="Verdana"/>
          <w:sz w:val="20"/>
          <w:szCs w:val="20"/>
        </w:rPr>
        <w:t>verkwisting</w:t>
      </w:r>
      <w:r>
        <w:rPr>
          <w:rFonts w:ascii="Verdana" w:hAnsi="Verdana"/>
          <w:sz w:val="20"/>
          <w:szCs w:val="20"/>
        </w:rPr>
        <w:t xml:space="preserve"> is geen grond meer voor curatele en curatele kan alleen nog worden ingesteld indien </w:t>
      </w:r>
      <w:r w:rsidR="00EB0462">
        <w:rPr>
          <w:rFonts w:ascii="Verdana" w:hAnsi="Verdana"/>
          <w:sz w:val="20"/>
          <w:szCs w:val="20"/>
        </w:rPr>
        <w:t>de behartiging van de belangen van betrokkene niet met een minder ver strekkende voorzieni</w:t>
      </w:r>
      <w:r w:rsidR="001B22BF">
        <w:rPr>
          <w:rFonts w:ascii="Verdana" w:hAnsi="Verdana"/>
          <w:sz w:val="20"/>
          <w:szCs w:val="20"/>
        </w:rPr>
        <w:t>n</w:t>
      </w:r>
      <w:r w:rsidR="00EB0462">
        <w:rPr>
          <w:rFonts w:ascii="Verdana" w:hAnsi="Verdana"/>
          <w:sz w:val="20"/>
          <w:szCs w:val="20"/>
        </w:rPr>
        <w:t>g kan worden bewerkstelligd.</w:t>
      </w:r>
      <w:r w:rsidR="002D48F5">
        <w:rPr>
          <w:rFonts w:ascii="Verdana" w:hAnsi="Verdana"/>
          <w:sz w:val="20"/>
          <w:szCs w:val="20"/>
        </w:rPr>
        <w:t xml:space="preserve"> </w:t>
      </w:r>
      <w:r w:rsidR="00CB4ECE">
        <w:rPr>
          <w:rFonts w:ascii="Verdana" w:hAnsi="Verdana"/>
          <w:sz w:val="20"/>
          <w:szCs w:val="20"/>
        </w:rPr>
        <w:t>Curatele</w:t>
      </w:r>
      <w:r w:rsidR="002D48F5">
        <w:rPr>
          <w:rFonts w:ascii="Verdana" w:hAnsi="Verdana"/>
          <w:sz w:val="20"/>
          <w:szCs w:val="20"/>
        </w:rPr>
        <w:t xml:space="preserve"> kan worden ingesteld bij drugsmisbruik</w:t>
      </w:r>
    </w:p>
    <w:p w:rsidR="00EB0462" w:rsidRPr="008B22D3" w:rsidRDefault="00EB0462">
      <w:pPr>
        <w:rPr>
          <w:rFonts w:ascii="Verdana" w:hAnsi="Verdana"/>
          <w:sz w:val="20"/>
          <w:szCs w:val="20"/>
        </w:rPr>
      </w:pPr>
      <w:r>
        <w:rPr>
          <w:rFonts w:ascii="Verdana" w:hAnsi="Verdana"/>
          <w:sz w:val="20"/>
          <w:szCs w:val="20"/>
        </w:rPr>
        <w:t xml:space="preserve">Bewind: Verkwisting en ‘het hebben van problematische schulden’ worden nieuwe gronden voor instelling van beschermingsbewind. </w:t>
      </w:r>
      <w:r w:rsidR="00CD1DDA">
        <w:rPr>
          <w:rFonts w:ascii="Verdana" w:hAnsi="Verdana"/>
          <w:sz w:val="20"/>
          <w:szCs w:val="20"/>
        </w:rPr>
        <w:t xml:space="preserve">Daar komt bij dat </w:t>
      </w:r>
      <w:r>
        <w:rPr>
          <w:rFonts w:ascii="Verdana" w:hAnsi="Verdana"/>
          <w:sz w:val="20"/>
          <w:szCs w:val="20"/>
        </w:rPr>
        <w:t>de instelling van dergelijk bewind ook dient te worden gepubliceerd</w:t>
      </w:r>
      <w:r w:rsidR="005948C5">
        <w:rPr>
          <w:rFonts w:ascii="Verdana" w:hAnsi="Verdana"/>
          <w:sz w:val="20"/>
          <w:szCs w:val="20"/>
        </w:rPr>
        <w:t xml:space="preserve"> in een openbaar register</w:t>
      </w:r>
      <w:r w:rsidR="00C85BD3">
        <w:rPr>
          <w:rFonts w:ascii="Verdana" w:hAnsi="Verdana"/>
          <w:sz w:val="20"/>
          <w:szCs w:val="20"/>
        </w:rPr>
        <w:t xml:space="preserve"> (curatele- en bewindregister)</w:t>
      </w:r>
      <w:r w:rsidR="005948C5">
        <w:rPr>
          <w:rFonts w:ascii="Verdana" w:hAnsi="Verdana"/>
          <w:sz w:val="20"/>
          <w:szCs w:val="20"/>
        </w:rPr>
        <w:t>, zoals reeds al wettelijk verplicht was voor curatele</w:t>
      </w:r>
      <w:r w:rsidR="00CD1DDA">
        <w:rPr>
          <w:rFonts w:ascii="Verdana" w:hAnsi="Verdana"/>
          <w:sz w:val="20"/>
          <w:szCs w:val="20"/>
        </w:rPr>
        <w:t>.</w:t>
      </w:r>
    </w:p>
    <w:p w:rsidR="00EB0462" w:rsidRPr="008B22D3" w:rsidRDefault="00EB0462">
      <w:pPr>
        <w:rPr>
          <w:rFonts w:ascii="Verdana" w:hAnsi="Verdana"/>
          <w:sz w:val="20"/>
          <w:szCs w:val="20"/>
        </w:rPr>
      </w:pPr>
    </w:p>
    <w:p w:rsidR="008B22D3" w:rsidRPr="00FC4EDC" w:rsidRDefault="005948C5">
      <w:pPr>
        <w:rPr>
          <w:rFonts w:ascii="Verdana" w:hAnsi="Verdana"/>
          <w:b/>
          <w:color w:val="8DB3E2" w:themeColor="text2" w:themeTint="66"/>
          <w:sz w:val="20"/>
          <w:szCs w:val="20"/>
        </w:rPr>
      </w:pPr>
      <w:r w:rsidRPr="00FC4EDC">
        <w:rPr>
          <w:rFonts w:ascii="Verdana" w:hAnsi="Verdana"/>
          <w:b/>
          <w:color w:val="8DB3E2" w:themeColor="text2" w:themeTint="66"/>
          <w:sz w:val="20"/>
          <w:szCs w:val="20"/>
        </w:rPr>
        <w:t>Zorgaanbieders kunnen verzoeken tot</w:t>
      </w:r>
      <w:r w:rsidR="00CD1DDA" w:rsidRPr="00FC4EDC">
        <w:rPr>
          <w:rFonts w:ascii="Verdana" w:hAnsi="Verdana"/>
          <w:b/>
          <w:color w:val="8DB3E2" w:themeColor="text2" w:themeTint="66"/>
          <w:sz w:val="20"/>
          <w:szCs w:val="20"/>
        </w:rPr>
        <w:t xml:space="preserve"> instelling</w:t>
      </w:r>
      <w:r w:rsidR="00CB4ECE" w:rsidRPr="00FC4EDC">
        <w:rPr>
          <w:rFonts w:ascii="Verdana" w:hAnsi="Verdana"/>
          <w:b/>
          <w:color w:val="8DB3E2" w:themeColor="text2" w:themeTint="66"/>
          <w:sz w:val="20"/>
          <w:szCs w:val="20"/>
        </w:rPr>
        <w:t xml:space="preserve">, </w:t>
      </w:r>
      <w:r w:rsidR="00CD1DDA" w:rsidRPr="00FC4EDC">
        <w:rPr>
          <w:rFonts w:ascii="Verdana" w:hAnsi="Verdana"/>
          <w:b/>
          <w:color w:val="8DB3E2" w:themeColor="text2" w:themeTint="66"/>
          <w:sz w:val="20"/>
          <w:szCs w:val="20"/>
        </w:rPr>
        <w:t xml:space="preserve">opheffing </w:t>
      </w:r>
      <w:r w:rsidR="00CB4ECE" w:rsidRPr="00FC4EDC">
        <w:rPr>
          <w:rFonts w:ascii="Verdana" w:hAnsi="Verdana"/>
          <w:b/>
          <w:color w:val="8DB3E2" w:themeColor="text2" w:themeTint="66"/>
          <w:sz w:val="20"/>
          <w:szCs w:val="20"/>
        </w:rPr>
        <w:t xml:space="preserve">en verlenging </w:t>
      </w:r>
      <w:r w:rsidR="00CD1DDA" w:rsidRPr="00FC4EDC">
        <w:rPr>
          <w:rFonts w:ascii="Verdana" w:hAnsi="Verdana"/>
          <w:b/>
          <w:color w:val="8DB3E2" w:themeColor="text2" w:themeTint="66"/>
          <w:sz w:val="20"/>
          <w:szCs w:val="20"/>
        </w:rPr>
        <w:t>van de beschermingsmaatregel</w:t>
      </w:r>
      <w:r w:rsidRPr="00FC4EDC">
        <w:rPr>
          <w:rFonts w:ascii="Verdana" w:hAnsi="Verdana"/>
          <w:b/>
          <w:color w:val="8DB3E2" w:themeColor="text2" w:themeTint="66"/>
          <w:sz w:val="20"/>
          <w:szCs w:val="20"/>
        </w:rPr>
        <w:t>en en</w:t>
      </w:r>
      <w:r w:rsidR="00CD1DDA" w:rsidRPr="00FC4EDC">
        <w:rPr>
          <w:rFonts w:ascii="Verdana" w:hAnsi="Verdana"/>
          <w:b/>
          <w:color w:val="8DB3E2" w:themeColor="text2" w:themeTint="66"/>
          <w:sz w:val="20"/>
          <w:szCs w:val="20"/>
        </w:rPr>
        <w:t xml:space="preserve"> </w:t>
      </w:r>
      <w:r w:rsidRPr="00FC4EDC">
        <w:rPr>
          <w:rFonts w:ascii="Verdana" w:hAnsi="Verdana"/>
          <w:b/>
          <w:color w:val="8DB3E2" w:themeColor="text2" w:themeTint="66"/>
          <w:sz w:val="20"/>
          <w:szCs w:val="20"/>
        </w:rPr>
        <w:t xml:space="preserve">tot </w:t>
      </w:r>
      <w:r w:rsidR="00CD1DDA" w:rsidRPr="00FC4EDC">
        <w:rPr>
          <w:rFonts w:ascii="Verdana" w:hAnsi="Verdana"/>
          <w:b/>
          <w:color w:val="8DB3E2" w:themeColor="text2" w:themeTint="66"/>
          <w:sz w:val="20"/>
          <w:szCs w:val="20"/>
        </w:rPr>
        <w:t>ontslag van de vertegenwoordiger</w:t>
      </w:r>
      <w:r w:rsidRPr="00FC4EDC">
        <w:rPr>
          <w:rFonts w:ascii="Verdana" w:hAnsi="Verdana"/>
          <w:b/>
          <w:color w:val="8DB3E2" w:themeColor="text2" w:themeTint="66"/>
          <w:sz w:val="20"/>
          <w:szCs w:val="20"/>
        </w:rPr>
        <w:t>.</w:t>
      </w:r>
    </w:p>
    <w:p w:rsidR="00CD1DDA" w:rsidRDefault="005948C5">
      <w:pPr>
        <w:rPr>
          <w:rFonts w:ascii="Verdana" w:hAnsi="Verdana"/>
          <w:sz w:val="20"/>
          <w:szCs w:val="20"/>
        </w:rPr>
      </w:pPr>
      <w:r>
        <w:t>Z</w:t>
      </w:r>
      <w:r w:rsidR="00CD1DDA">
        <w:rPr>
          <w:rFonts w:ascii="Verdana" w:hAnsi="Verdana"/>
          <w:sz w:val="20"/>
          <w:szCs w:val="20"/>
        </w:rPr>
        <w:t xml:space="preserve">orgaanbieders </w:t>
      </w:r>
      <w:r>
        <w:rPr>
          <w:rFonts w:ascii="Verdana" w:hAnsi="Verdana"/>
          <w:sz w:val="20"/>
          <w:szCs w:val="20"/>
        </w:rPr>
        <w:t xml:space="preserve">krijgen </w:t>
      </w:r>
      <w:r w:rsidR="00CD1DDA">
        <w:rPr>
          <w:rFonts w:ascii="Verdana" w:hAnsi="Verdana"/>
          <w:sz w:val="20"/>
          <w:szCs w:val="20"/>
        </w:rPr>
        <w:t xml:space="preserve">de bevoegdheid om een beschermingsmaatregel </w:t>
      </w:r>
      <w:r w:rsidR="00267124">
        <w:rPr>
          <w:rFonts w:ascii="Verdana" w:hAnsi="Verdana"/>
          <w:sz w:val="20"/>
          <w:szCs w:val="20"/>
        </w:rPr>
        <w:t xml:space="preserve">(curatele, bewind en mentorschap) </w:t>
      </w:r>
      <w:r w:rsidR="00CD1DDA">
        <w:rPr>
          <w:rFonts w:ascii="Verdana" w:hAnsi="Verdana"/>
          <w:sz w:val="20"/>
          <w:szCs w:val="20"/>
        </w:rPr>
        <w:t>te verzoeken. De bevoegdheid van de instelling die begeleiding biedt kan bijvoorbeeld van belang zijn in de situatie waarin de betrokken persoon niet in de instelling verblijft, en er geen familie is, dan wel dat deze geen verzoek indient. Het moet gaan om een instelling die bij of krachtens de AWBZ, of – in de toekomst – de WMO, aan de betrokkene begeleiding biedt gericht op het behouden van structuur in en regie over het dagelijkse leven.</w:t>
      </w:r>
      <w:r>
        <w:rPr>
          <w:rFonts w:ascii="Verdana" w:hAnsi="Verdana"/>
          <w:sz w:val="20"/>
          <w:szCs w:val="20"/>
        </w:rPr>
        <w:t xml:space="preserve"> De zorgaanbieder kan ook om ontheffing verzoeken alsmede een verzoek indienen tot ontslag van de benoemde vertegenwoordiger.</w:t>
      </w:r>
      <w:r w:rsidR="00A72BCA">
        <w:rPr>
          <w:rFonts w:ascii="Verdana" w:hAnsi="Verdana"/>
          <w:sz w:val="20"/>
          <w:szCs w:val="20"/>
        </w:rPr>
        <w:t xml:space="preserve">  Overigens kan de instelling geen</w:t>
      </w:r>
      <w:r w:rsidR="00A72BCA" w:rsidRPr="00757085">
        <w:rPr>
          <w:rFonts w:ascii="Verdana" w:hAnsi="Verdana"/>
          <w:sz w:val="20"/>
          <w:szCs w:val="20"/>
        </w:rPr>
        <w:t xml:space="preserve"> mentorschap </w:t>
      </w:r>
      <w:r w:rsidR="00A72BCA">
        <w:rPr>
          <w:rFonts w:ascii="Verdana" w:hAnsi="Verdana"/>
          <w:sz w:val="20"/>
          <w:szCs w:val="20"/>
        </w:rPr>
        <w:t xml:space="preserve">verzoeken </w:t>
      </w:r>
      <w:r w:rsidR="00A72BCA" w:rsidRPr="00757085">
        <w:rPr>
          <w:rFonts w:ascii="Verdana" w:hAnsi="Verdana"/>
          <w:sz w:val="20"/>
          <w:szCs w:val="20"/>
        </w:rPr>
        <w:t>ingeval een meerderjarige</w:t>
      </w:r>
      <w:r w:rsidR="00A72BCA">
        <w:rPr>
          <w:rFonts w:ascii="Verdana" w:hAnsi="Verdana"/>
          <w:sz w:val="20"/>
          <w:szCs w:val="20"/>
        </w:rPr>
        <w:t xml:space="preserve"> nog wilsbekwaam is, maar</w:t>
      </w:r>
      <w:r w:rsidR="00A72BCA" w:rsidRPr="00757085">
        <w:rPr>
          <w:rFonts w:ascii="Verdana" w:hAnsi="Verdana"/>
          <w:sz w:val="20"/>
          <w:szCs w:val="20"/>
        </w:rPr>
        <w:t xml:space="preserve"> binnen afzienbare tijd verwacht in een lichamelijke of geestelijke toestand te verkeren die mentorschap mogelijk maakt. In dat geval kan, evenals thans, uitsluitend de betrokkene zelf het mentorschap verzoeken. </w:t>
      </w:r>
    </w:p>
    <w:p w:rsidR="00CD1DDA" w:rsidRDefault="00CD1DDA">
      <w:pPr>
        <w:rPr>
          <w:rFonts w:ascii="Verdana" w:hAnsi="Verdana"/>
          <w:sz w:val="20"/>
          <w:szCs w:val="20"/>
        </w:rPr>
      </w:pPr>
    </w:p>
    <w:p w:rsidR="00CD1DDA" w:rsidRPr="00FC4EDC" w:rsidRDefault="00A07AA7">
      <w:pPr>
        <w:rPr>
          <w:rFonts w:ascii="Verdana" w:hAnsi="Verdana"/>
          <w:b/>
          <w:color w:val="8DB3E2" w:themeColor="text2" w:themeTint="66"/>
          <w:sz w:val="20"/>
          <w:szCs w:val="20"/>
        </w:rPr>
      </w:pPr>
      <w:r w:rsidRPr="00FC4EDC">
        <w:rPr>
          <w:rFonts w:ascii="Verdana" w:hAnsi="Verdana"/>
          <w:b/>
          <w:color w:val="8DB3E2" w:themeColor="text2" w:themeTint="66"/>
          <w:sz w:val="20"/>
          <w:szCs w:val="20"/>
        </w:rPr>
        <w:t>Rechtspersonen als curator en mentor</w:t>
      </w:r>
    </w:p>
    <w:p w:rsidR="00CD1DDA" w:rsidRDefault="00A07AA7">
      <w:pPr>
        <w:rPr>
          <w:rFonts w:ascii="Verdana" w:hAnsi="Verdana"/>
          <w:sz w:val="20"/>
          <w:szCs w:val="20"/>
        </w:rPr>
      </w:pPr>
      <w:r>
        <w:rPr>
          <w:rFonts w:ascii="Verdana" w:hAnsi="Verdana"/>
          <w:sz w:val="20"/>
          <w:szCs w:val="20"/>
        </w:rPr>
        <w:t>Rechtspersonen kunnen al ben</w:t>
      </w:r>
      <w:r w:rsidR="007569D6">
        <w:rPr>
          <w:rFonts w:ascii="Verdana" w:hAnsi="Verdana"/>
          <w:sz w:val="20"/>
          <w:szCs w:val="20"/>
        </w:rPr>
        <w:t>oemd worden als bewindvoeder. Vanaf januari 2014</w:t>
      </w:r>
      <w:r>
        <w:rPr>
          <w:rFonts w:ascii="Verdana" w:hAnsi="Verdana"/>
          <w:sz w:val="20"/>
          <w:szCs w:val="20"/>
        </w:rPr>
        <w:t xml:space="preserve"> kunnen ook rechtspersonen benoemd worden als curator en mentor. Rechtspersonen kunnen continuïteit van de werkzaamheden verzekeren omdat de taakuitoefening dan niet meer afhankelijk is van één bepaalde natuurlijke persoon.</w:t>
      </w:r>
    </w:p>
    <w:p w:rsidR="00A07AA7" w:rsidRDefault="00A07AA7">
      <w:pPr>
        <w:rPr>
          <w:rFonts w:ascii="Verdana" w:hAnsi="Verdana"/>
          <w:sz w:val="20"/>
          <w:szCs w:val="20"/>
        </w:rPr>
      </w:pPr>
    </w:p>
    <w:p w:rsidR="008B22D3" w:rsidRPr="00FC4EDC" w:rsidRDefault="009E39C5">
      <w:pPr>
        <w:rPr>
          <w:rFonts w:ascii="Verdana" w:hAnsi="Verdana"/>
          <w:b/>
          <w:color w:val="8DB3E2" w:themeColor="text2" w:themeTint="66"/>
          <w:sz w:val="20"/>
          <w:szCs w:val="20"/>
        </w:rPr>
      </w:pPr>
      <w:r w:rsidRPr="00FC4EDC">
        <w:rPr>
          <w:rFonts w:ascii="Verdana" w:hAnsi="Verdana"/>
          <w:b/>
          <w:color w:val="8DB3E2" w:themeColor="text2" w:themeTint="66"/>
          <w:sz w:val="20"/>
          <w:szCs w:val="20"/>
        </w:rPr>
        <w:t>Zor</w:t>
      </w:r>
      <w:r w:rsidR="009020D4" w:rsidRPr="00FC4EDC">
        <w:rPr>
          <w:rFonts w:ascii="Verdana" w:hAnsi="Verdana"/>
          <w:b/>
          <w:color w:val="8DB3E2" w:themeColor="text2" w:themeTint="66"/>
          <w:sz w:val="20"/>
          <w:szCs w:val="20"/>
        </w:rPr>
        <w:t xml:space="preserve">gaanbieders kunnen geen curator, </w:t>
      </w:r>
      <w:r w:rsidRPr="00FC4EDC">
        <w:rPr>
          <w:rFonts w:ascii="Verdana" w:hAnsi="Verdana"/>
          <w:b/>
          <w:color w:val="8DB3E2" w:themeColor="text2" w:themeTint="66"/>
          <w:sz w:val="20"/>
          <w:szCs w:val="20"/>
        </w:rPr>
        <w:t>bewin</w:t>
      </w:r>
      <w:r w:rsidR="009020D4" w:rsidRPr="00FC4EDC">
        <w:rPr>
          <w:rFonts w:ascii="Verdana" w:hAnsi="Verdana"/>
          <w:b/>
          <w:color w:val="8DB3E2" w:themeColor="text2" w:themeTint="66"/>
          <w:sz w:val="20"/>
          <w:szCs w:val="20"/>
        </w:rPr>
        <w:t>d</w:t>
      </w:r>
      <w:r w:rsidRPr="00FC4EDC">
        <w:rPr>
          <w:rFonts w:ascii="Verdana" w:hAnsi="Verdana"/>
          <w:b/>
          <w:color w:val="8DB3E2" w:themeColor="text2" w:themeTint="66"/>
          <w:sz w:val="20"/>
          <w:szCs w:val="20"/>
        </w:rPr>
        <w:t>voerder of mentor zijn</w:t>
      </w:r>
    </w:p>
    <w:p w:rsidR="00491094" w:rsidRDefault="00491094">
      <w:pPr>
        <w:rPr>
          <w:rFonts w:ascii="Verdana" w:hAnsi="Verdana"/>
          <w:sz w:val="20"/>
          <w:szCs w:val="20"/>
        </w:rPr>
      </w:pPr>
      <w:r>
        <w:rPr>
          <w:rFonts w:ascii="Verdana" w:hAnsi="Verdana"/>
          <w:sz w:val="20"/>
          <w:szCs w:val="20"/>
        </w:rPr>
        <w:t xml:space="preserve">Zorgaanbieders en medewerkers van zorgaanbieders kunnen niet (meer) tot curator, bewindvoerder en mentor worden benoemd. </w:t>
      </w:r>
      <w:r w:rsidR="00CB4ECE">
        <w:rPr>
          <w:rFonts w:ascii="Verdana" w:hAnsi="Verdana"/>
          <w:sz w:val="20"/>
          <w:szCs w:val="20"/>
        </w:rPr>
        <w:t>Reden hiervoor i</w:t>
      </w:r>
      <w:r>
        <w:rPr>
          <w:rFonts w:ascii="Verdana" w:hAnsi="Verdana"/>
          <w:sz w:val="20"/>
          <w:szCs w:val="20"/>
        </w:rPr>
        <w:t xml:space="preserve">s dat er twijfel kan bestaan over de vraag of genoemde personen uitsluitend in het belang van de onder curatele/bewind/mentorschap gestelde kunnen handelen, omdat zij uit hoofde van hun functie ook andere, mogelijk conflicterende belangen behartigen. </w:t>
      </w:r>
    </w:p>
    <w:p w:rsidR="00A07AA7" w:rsidRDefault="00A07AA7">
      <w:pPr>
        <w:rPr>
          <w:rFonts w:ascii="Verdana" w:hAnsi="Verdana"/>
          <w:sz w:val="20"/>
          <w:szCs w:val="20"/>
        </w:rPr>
      </w:pPr>
    </w:p>
    <w:p w:rsidR="00A07AA7" w:rsidRPr="00FC4EDC" w:rsidRDefault="00A07AA7">
      <w:pPr>
        <w:rPr>
          <w:rFonts w:ascii="Verdana" w:hAnsi="Verdana"/>
          <w:b/>
          <w:color w:val="8DB3E2" w:themeColor="text2" w:themeTint="66"/>
          <w:sz w:val="20"/>
          <w:szCs w:val="20"/>
        </w:rPr>
      </w:pPr>
      <w:r w:rsidRPr="00FC4EDC">
        <w:rPr>
          <w:rFonts w:ascii="Verdana" w:hAnsi="Verdana"/>
          <w:b/>
          <w:color w:val="8DB3E2" w:themeColor="text2" w:themeTint="66"/>
          <w:sz w:val="20"/>
          <w:szCs w:val="20"/>
        </w:rPr>
        <w:t>Kwaliteitseisen voor vertegenwoordigers en controle daarop</w:t>
      </w:r>
    </w:p>
    <w:p w:rsidR="00A65C28" w:rsidRDefault="00A07AA7">
      <w:pPr>
        <w:rPr>
          <w:rFonts w:ascii="Verdana" w:hAnsi="Verdana"/>
          <w:sz w:val="20"/>
          <w:szCs w:val="20"/>
        </w:rPr>
      </w:pPr>
      <w:r>
        <w:rPr>
          <w:rFonts w:ascii="Verdana" w:hAnsi="Verdana"/>
          <w:sz w:val="20"/>
          <w:szCs w:val="20"/>
        </w:rPr>
        <w:t xml:space="preserve">Vertegenwoordigers met </w:t>
      </w:r>
      <w:r w:rsidR="009E39C5">
        <w:rPr>
          <w:rFonts w:ascii="Verdana" w:hAnsi="Verdana"/>
          <w:sz w:val="20"/>
          <w:szCs w:val="20"/>
        </w:rPr>
        <w:t>3</w:t>
      </w:r>
      <w:r>
        <w:rPr>
          <w:rFonts w:ascii="Verdana" w:hAnsi="Verdana"/>
          <w:sz w:val="20"/>
          <w:szCs w:val="20"/>
        </w:rPr>
        <w:t xml:space="preserve"> of meer personen onder hun hoede zullen voortaan </w:t>
      </w:r>
      <w:r w:rsidR="00BD5313">
        <w:rPr>
          <w:rFonts w:ascii="Verdana" w:hAnsi="Verdana"/>
          <w:sz w:val="20"/>
          <w:szCs w:val="20"/>
        </w:rPr>
        <w:t xml:space="preserve">aan kwaliteitseisen dienen te voldoen. </w:t>
      </w:r>
      <w:r w:rsidR="009E39C5">
        <w:rPr>
          <w:rFonts w:ascii="Verdana" w:hAnsi="Verdana"/>
          <w:sz w:val="20"/>
          <w:szCs w:val="20"/>
        </w:rPr>
        <w:t xml:space="preserve">Te denken valt aan integriteiteisen, inclusief een VOG, aan eisen omtrent gescheiden administratie, aan de aanwezigheid van een klachtenprocedure, en aan eisen aan opleiding en scholing. Bij eisen omtrent bedrijfsvoering kan worden gedacht aan het opgesteld hebben van een bedrijfsplan en aan functiescheiding tussen uitbetaling en boekhouding. </w:t>
      </w:r>
    </w:p>
    <w:p w:rsidR="008B22D3" w:rsidRDefault="009E39C5">
      <w:pPr>
        <w:rPr>
          <w:rFonts w:ascii="Verdana" w:hAnsi="Verdana"/>
          <w:sz w:val="20"/>
          <w:szCs w:val="20"/>
        </w:rPr>
      </w:pPr>
      <w:r>
        <w:rPr>
          <w:rFonts w:ascii="Verdana" w:hAnsi="Verdana"/>
          <w:sz w:val="20"/>
          <w:szCs w:val="20"/>
        </w:rPr>
        <w:lastRenderedPageBreak/>
        <w:t xml:space="preserve">Maar ook de werving, de scholing en de begeleiding van en het toezicht op de personen die daadwerkelijk de werkzaamheden verrichten zullen onderwerp van kwaliteitseisen zijn. </w:t>
      </w:r>
      <w:r w:rsidR="00BD5313">
        <w:rPr>
          <w:rFonts w:ascii="Verdana" w:hAnsi="Verdana"/>
          <w:sz w:val="20"/>
          <w:szCs w:val="20"/>
        </w:rPr>
        <w:t>Jaarlijks dienen zij (aan rechter?) een verklaring van een accountant te overleggen dat aan de gestelde eisen is voldaan. De kwaliteitseisen waaraan moet worden voldaan worden nog bij Algemene Maatregel van Bestuur (AmvB) door de overheid vastgesteld. Zodra deze begin 2014 wordt gepubliceerd zal u daarvan op de hoogte worden gebracht.</w:t>
      </w:r>
    </w:p>
    <w:p w:rsidR="00BD5313" w:rsidRDefault="00BD5313">
      <w:pPr>
        <w:rPr>
          <w:rFonts w:ascii="Verdana" w:hAnsi="Verdana"/>
          <w:sz w:val="20"/>
          <w:szCs w:val="20"/>
        </w:rPr>
      </w:pPr>
      <w:r>
        <w:rPr>
          <w:rFonts w:ascii="Verdana" w:hAnsi="Verdana"/>
          <w:sz w:val="20"/>
          <w:szCs w:val="20"/>
        </w:rPr>
        <w:t>In de AmVB zal een onderscheid worden gemaakt tussen de eisen aan bedrijfsvoering en financiële verslaglegging</w:t>
      </w:r>
      <w:r w:rsidR="000D4FF3">
        <w:rPr>
          <w:rFonts w:ascii="Verdana" w:hAnsi="Verdana"/>
          <w:sz w:val="20"/>
          <w:szCs w:val="20"/>
        </w:rPr>
        <w:t>, die door de accountant mogen worden gecontroleerd, en de overige eisen die door de accountant mogen worden gecontroleerd of door een door de kantonrechter benoemde deskundige.</w:t>
      </w:r>
    </w:p>
    <w:p w:rsidR="000D4FF3" w:rsidRDefault="000D4FF3">
      <w:pPr>
        <w:rPr>
          <w:rFonts w:ascii="Verdana" w:hAnsi="Verdana"/>
          <w:sz w:val="20"/>
          <w:szCs w:val="20"/>
        </w:rPr>
      </w:pPr>
    </w:p>
    <w:p w:rsidR="000D4FF3" w:rsidRDefault="000D4FF3">
      <w:pPr>
        <w:rPr>
          <w:rFonts w:ascii="Verdana" w:hAnsi="Verdana"/>
          <w:sz w:val="20"/>
          <w:szCs w:val="20"/>
        </w:rPr>
      </w:pPr>
      <w:r>
        <w:rPr>
          <w:rFonts w:ascii="Verdana" w:hAnsi="Verdana"/>
          <w:sz w:val="20"/>
          <w:szCs w:val="20"/>
        </w:rPr>
        <w:t xml:space="preserve">Overgangsregeling: vertegenwoordigers die nu uit hoofde van een rechterlijke benoeming actief zijn maar nog niet aan de te stellen kwaliteitseisen voldoen, krijgen twee jaar de tijd om </w:t>
      </w:r>
      <w:r w:rsidR="00CB4ECE">
        <w:rPr>
          <w:rFonts w:ascii="Verdana" w:hAnsi="Verdana"/>
          <w:sz w:val="20"/>
          <w:szCs w:val="20"/>
        </w:rPr>
        <w:t xml:space="preserve">daar </w:t>
      </w:r>
      <w:r>
        <w:rPr>
          <w:rFonts w:ascii="Verdana" w:hAnsi="Verdana"/>
          <w:sz w:val="20"/>
          <w:szCs w:val="20"/>
        </w:rPr>
        <w:t>alsnog</w:t>
      </w:r>
      <w:r w:rsidR="00CB4ECE">
        <w:rPr>
          <w:rFonts w:ascii="Verdana" w:hAnsi="Verdana"/>
          <w:sz w:val="20"/>
          <w:szCs w:val="20"/>
        </w:rPr>
        <w:t xml:space="preserve"> </w:t>
      </w:r>
      <w:r>
        <w:rPr>
          <w:rFonts w:ascii="Verdana" w:hAnsi="Verdana"/>
          <w:sz w:val="20"/>
          <w:szCs w:val="20"/>
        </w:rPr>
        <w:t>aan te voldoen.</w:t>
      </w:r>
    </w:p>
    <w:p w:rsidR="000D4FF3" w:rsidRDefault="000D4FF3">
      <w:pPr>
        <w:rPr>
          <w:rFonts w:ascii="Verdana" w:hAnsi="Verdana"/>
          <w:sz w:val="20"/>
          <w:szCs w:val="20"/>
        </w:rPr>
      </w:pPr>
    </w:p>
    <w:p w:rsidR="000D4FF3" w:rsidRPr="00FC4EDC" w:rsidRDefault="000D4FF3">
      <w:pPr>
        <w:rPr>
          <w:rFonts w:ascii="Verdana" w:hAnsi="Verdana"/>
          <w:b/>
          <w:color w:val="8DB3E2" w:themeColor="text2" w:themeTint="66"/>
          <w:sz w:val="20"/>
          <w:szCs w:val="20"/>
        </w:rPr>
      </w:pPr>
      <w:r w:rsidRPr="00FC4EDC">
        <w:rPr>
          <w:rFonts w:ascii="Verdana" w:hAnsi="Verdana"/>
          <w:b/>
          <w:color w:val="8DB3E2" w:themeColor="text2" w:themeTint="66"/>
          <w:sz w:val="20"/>
          <w:szCs w:val="20"/>
        </w:rPr>
        <w:t>Benoeming twee curatoren</w:t>
      </w:r>
      <w:r w:rsidR="009020D4" w:rsidRPr="00FC4EDC">
        <w:rPr>
          <w:rFonts w:ascii="Verdana" w:hAnsi="Verdana"/>
          <w:b/>
          <w:color w:val="8DB3E2" w:themeColor="text2" w:themeTint="66"/>
          <w:sz w:val="20"/>
          <w:szCs w:val="20"/>
        </w:rPr>
        <w:t>, bewindvoerders</w:t>
      </w:r>
      <w:r w:rsidRPr="00FC4EDC">
        <w:rPr>
          <w:rFonts w:ascii="Verdana" w:hAnsi="Verdana"/>
          <w:b/>
          <w:color w:val="8DB3E2" w:themeColor="text2" w:themeTint="66"/>
          <w:sz w:val="20"/>
          <w:szCs w:val="20"/>
        </w:rPr>
        <w:t xml:space="preserve"> en mentoren</w:t>
      </w:r>
    </w:p>
    <w:p w:rsidR="000D4FF3" w:rsidRDefault="009020D4">
      <w:pPr>
        <w:rPr>
          <w:rFonts w:ascii="Verdana" w:hAnsi="Verdana"/>
          <w:sz w:val="20"/>
          <w:szCs w:val="20"/>
        </w:rPr>
      </w:pPr>
      <w:r>
        <w:rPr>
          <w:rFonts w:ascii="Verdana" w:hAnsi="Verdana"/>
          <w:sz w:val="20"/>
          <w:szCs w:val="20"/>
        </w:rPr>
        <w:t xml:space="preserve">De kantonrechter kan </w:t>
      </w:r>
      <w:r w:rsidR="000D4FF3">
        <w:rPr>
          <w:rFonts w:ascii="Verdana" w:hAnsi="Verdana"/>
          <w:sz w:val="20"/>
          <w:szCs w:val="20"/>
        </w:rPr>
        <w:t>twee curatoren</w:t>
      </w:r>
      <w:r>
        <w:rPr>
          <w:rFonts w:ascii="Verdana" w:hAnsi="Verdana"/>
          <w:sz w:val="20"/>
          <w:szCs w:val="20"/>
        </w:rPr>
        <w:t>, bewindvoerders</w:t>
      </w:r>
      <w:r w:rsidR="000D4FF3">
        <w:rPr>
          <w:rFonts w:ascii="Verdana" w:hAnsi="Verdana"/>
          <w:sz w:val="20"/>
          <w:szCs w:val="20"/>
        </w:rPr>
        <w:t xml:space="preserve"> of mentoren </w:t>
      </w:r>
      <w:r>
        <w:rPr>
          <w:rFonts w:ascii="Verdana" w:hAnsi="Verdana"/>
          <w:sz w:val="20"/>
          <w:szCs w:val="20"/>
        </w:rPr>
        <w:t>benoemen, tenzij gegronde redenen zich tegen zodanige benoeming verzetten.  Zijn er twee benoemd dan komt aan ieder van hen de taken toe die de vertegenwoordiger toekomt, kan ze alleen verrichten en de kantonrechter is bevoegd om te beslissen bij verschil van mening tussen de beide benoemde vertegenwoordigers. Tevens heeft de kantonrechter de bevoegdheid om een verdeling van de beloning</w:t>
      </w:r>
      <w:r w:rsidR="000D4FF3">
        <w:rPr>
          <w:rFonts w:ascii="Verdana" w:hAnsi="Verdana"/>
          <w:sz w:val="20"/>
          <w:szCs w:val="20"/>
        </w:rPr>
        <w:t xml:space="preserve"> </w:t>
      </w:r>
      <w:r>
        <w:rPr>
          <w:rFonts w:ascii="Verdana" w:hAnsi="Verdana"/>
          <w:sz w:val="20"/>
          <w:szCs w:val="20"/>
        </w:rPr>
        <w:t xml:space="preserve">vast te stellen en kan hij een taakverdeling tussen de twee benoemde vertegenwoordigers vaststellen. De kantonrechter kan geschillen tussen de twee beslechten. Zorgaanbieders kunnen eveneens de kantonrechter verzoeken een meningsverschil tussen de twee benoemde vertegenwoordigers te beslechten. </w:t>
      </w:r>
    </w:p>
    <w:p w:rsidR="000D4FF3" w:rsidRDefault="000D4FF3">
      <w:pPr>
        <w:rPr>
          <w:rFonts w:ascii="Verdana" w:hAnsi="Verdana"/>
          <w:sz w:val="20"/>
          <w:szCs w:val="20"/>
        </w:rPr>
      </w:pPr>
    </w:p>
    <w:p w:rsidR="001D0FA5" w:rsidRPr="00FC4EDC" w:rsidRDefault="003F0BC5">
      <w:pPr>
        <w:rPr>
          <w:rFonts w:ascii="Verdana" w:hAnsi="Verdana"/>
          <w:b/>
          <w:color w:val="8DB3E2" w:themeColor="text2" w:themeTint="66"/>
          <w:sz w:val="20"/>
          <w:szCs w:val="20"/>
        </w:rPr>
      </w:pPr>
      <w:r w:rsidRPr="00FC4EDC">
        <w:rPr>
          <w:rFonts w:ascii="Verdana" w:hAnsi="Verdana"/>
          <w:b/>
          <w:color w:val="8DB3E2" w:themeColor="text2" w:themeTint="66"/>
          <w:sz w:val="20"/>
          <w:szCs w:val="20"/>
        </w:rPr>
        <w:t>Taak bewindvoerder en mentor</w:t>
      </w:r>
    </w:p>
    <w:p w:rsidR="00FC4EDC" w:rsidRDefault="000D69E2">
      <w:pPr>
        <w:rPr>
          <w:rFonts w:ascii="Verdana" w:hAnsi="Verdana"/>
          <w:sz w:val="20"/>
          <w:szCs w:val="20"/>
        </w:rPr>
      </w:pPr>
      <w:r>
        <w:rPr>
          <w:rFonts w:ascii="Verdana" w:hAnsi="Verdana"/>
          <w:sz w:val="20"/>
          <w:szCs w:val="20"/>
        </w:rPr>
        <w:t>Voor de taakopvatting van de bewindvoerder is van belang wat hij mag doen en wat hij moet doen. Ten aanzien van het eerste punt voorziet de wet erin dat de bewindvoerder alle handelingen kan verrichten die aan een goed bewind bijdragen: dus</w:t>
      </w:r>
      <w:r w:rsidR="00FC4EDC">
        <w:rPr>
          <w:rFonts w:ascii="Verdana" w:hAnsi="Verdana"/>
          <w:sz w:val="20"/>
          <w:szCs w:val="20"/>
        </w:rPr>
        <w:t xml:space="preserve"> </w:t>
      </w:r>
      <w:r>
        <w:rPr>
          <w:rFonts w:ascii="Verdana" w:hAnsi="Verdana"/>
          <w:sz w:val="20"/>
          <w:szCs w:val="20"/>
        </w:rPr>
        <w:t>een ruime taakopvatting. Met betrekking tot de verplichting van de bewindvoerder geldt de norm dat hij als ‘goed bewindvoeder’ handelt en goed financieel beheer voert. Gelet op de vele situaties die zich in de praktijk kunnen voordoen – bewind over een grot vermogen, bewind over een klein vermogen met of zonder schulden etc</w:t>
      </w:r>
      <w:r w:rsidR="00EB2C58">
        <w:rPr>
          <w:rFonts w:ascii="Verdana" w:hAnsi="Verdana"/>
          <w:sz w:val="20"/>
          <w:szCs w:val="20"/>
        </w:rPr>
        <w:t xml:space="preserve"> </w:t>
      </w:r>
      <w:r>
        <w:rPr>
          <w:rFonts w:ascii="Verdana" w:hAnsi="Verdana"/>
          <w:sz w:val="20"/>
          <w:szCs w:val="20"/>
        </w:rPr>
        <w:t>- kan de omvang van de zorgplicht van de bewindvoerder variëren al naar gelang de situatie. Om onzekerheid hierover zoveel mogelijk te voorkomen, is van belang dat bij de instelling van het beschermingsbewind voor alle betrokkenen duidelijk is wat men van elkaar mag verwachten. Is er zowel een mentor als een bewindvoerder benoemd, dan ligt het in de rede dat beiden afspraken maken over de concrete invulling van beider wettelijke taken ten aanzien van de betrokkene.</w:t>
      </w:r>
    </w:p>
    <w:p w:rsidR="00FC4EDC" w:rsidRDefault="00FC4EDC" w:rsidP="00FC4EDC">
      <w:pPr>
        <w:rPr>
          <w:rFonts w:ascii="Verdana" w:hAnsi="Verdana"/>
          <w:sz w:val="20"/>
          <w:szCs w:val="20"/>
        </w:rPr>
      </w:pPr>
    </w:p>
    <w:p w:rsidR="00FC4EDC" w:rsidRPr="00FC4EDC" w:rsidRDefault="00FC4EDC" w:rsidP="00FC4EDC">
      <w:pPr>
        <w:rPr>
          <w:rFonts w:ascii="Verdana" w:hAnsi="Verdana"/>
          <w:b/>
          <w:color w:val="8DB3E2" w:themeColor="text2" w:themeTint="66"/>
          <w:sz w:val="20"/>
          <w:szCs w:val="20"/>
        </w:rPr>
      </w:pPr>
      <w:r w:rsidRPr="00FC4EDC">
        <w:rPr>
          <w:rFonts w:ascii="Verdana" w:hAnsi="Verdana"/>
          <w:b/>
          <w:color w:val="8DB3E2" w:themeColor="text2" w:themeTint="66"/>
          <w:sz w:val="20"/>
          <w:szCs w:val="20"/>
        </w:rPr>
        <w:t>Beloning van vertegenwoordigers</w:t>
      </w:r>
    </w:p>
    <w:p w:rsidR="00FC4EDC" w:rsidRDefault="00FC4EDC" w:rsidP="00FC4EDC">
      <w:pPr>
        <w:rPr>
          <w:rFonts w:ascii="Verdana" w:hAnsi="Verdana"/>
          <w:sz w:val="20"/>
          <w:szCs w:val="20"/>
        </w:rPr>
      </w:pPr>
      <w:r>
        <w:rPr>
          <w:rFonts w:ascii="Verdana" w:hAnsi="Verdana"/>
          <w:sz w:val="20"/>
          <w:szCs w:val="20"/>
        </w:rPr>
        <w:t xml:space="preserve">De beloning van de curatoren, bewindvoerders en mentoren zal bij ministeriele regeling worden vastgesteld. </w:t>
      </w:r>
    </w:p>
    <w:p w:rsidR="000C6E8B" w:rsidRDefault="00FC4EDC">
      <w:pPr>
        <w:rPr>
          <w:rFonts w:ascii="Verdana" w:hAnsi="Verdana"/>
          <w:sz w:val="20"/>
          <w:szCs w:val="20"/>
        </w:rPr>
      </w:pPr>
      <w:r>
        <w:rPr>
          <w:rFonts w:ascii="Verdana" w:hAnsi="Verdana"/>
          <w:sz w:val="20"/>
          <w:szCs w:val="20"/>
        </w:rPr>
        <w:t xml:space="preserve"> </w:t>
      </w:r>
    </w:p>
    <w:sectPr w:rsidR="000C6E8B" w:rsidSect="001339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FFF"/>
    <w:multiLevelType w:val="hybridMultilevel"/>
    <w:tmpl w:val="D124F5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538427D3"/>
    <w:multiLevelType w:val="multilevel"/>
    <w:tmpl w:val="0A06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16BA"/>
    <w:rsid w:val="000C6E8B"/>
    <w:rsid w:val="000D4FF3"/>
    <w:rsid w:val="000D69E2"/>
    <w:rsid w:val="001216BA"/>
    <w:rsid w:val="001339DC"/>
    <w:rsid w:val="001B22BF"/>
    <w:rsid w:val="001D0FA5"/>
    <w:rsid w:val="001F3E2C"/>
    <w:rsid w:val="002041E8"/>
    <w:rsid w:val="00206D94"/>
    <w:rsid w:val="00233877"/>
    <w:rsid w:val="00267124"/>
    <w:rsid w:val="00282F42"/>
    <w:rsid w:val="00290423"/>
    <w:rsid w:val="002D48F5"/>
    <w:rsid w:val="003351AC"/>
    <w:rsid w:val="00376A57"/>
    <w:rsid w:val="003F0BC5"/>
    <w:rsid w:val="00402B26"/>
    <w:rsid w:val="004557FC"/>
    <w:rsid w:val="00491094"/>
    <w:rsid w:val="005948C5"/>
    <w:rsid w:val="007045ED"/>
    <w:rsid w:val="007569D6"/>
    <w:rsid w:val="00757085"/>
    <w:rsid w:val="008B22D3"/>
    <w:rsid w:val="008E3ADD"/>
    <w:rsid w:val="009020D4"/>
    <w:rsid w:val="009E39C5"/>
    <w:rsid w:val="00A07AA7"/>
    <w:rsid w:val="00A65C28"/>
    <w:rsid w:val="00A72BCA"/>
    <w:rsid w:val="00B17B87"/>
    <w:rsid w:val="00B26730"/>
    <w:rsid w:val="00B92270"/>
    <w:rsid w:val="00BD5313"/>
    <w:rsid w:val="00C85BD3"/>
    <w:rsid w:val="00C867C3"/>
    <w:rsid w:val="00CB4ECE"/>
    <w:rsid w:val="00CD1DDA"/>
    <w:rsid w:val="00CE7188"/>
    <w:rsid w:val="00D272A6"/>
    <w:rsid w:val="00D7193F"/>
    <w:rsid w:val="00D95C96"/>
    <w:rsid w:val="00DC0EB5"/>
    <w:rsid w:val="00EB0462"/>
    <w:rsid w:val="00EB2BC6"/>
    <w:rsid w:val="00EB2C58"/>
    <w:rsid w:val="00FA35D3"/>
    <w:rsid w:val="00FC4EDC"/>
    <w:rsid w:val="00FF44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39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none">
    <w:name w:val="mnone"/>
    <w:basedOn w:val="Standaard"/>
    <w:rsid w:val="00EB2BC6"/>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mtop">
    <w:name w:val="mtop"/>
    <w:basedOn w:val="Standaard"/>
    <w:rsid w:val="00EB2BC6"/>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B4ECE"/>
    <w:pPr>
      <w:ind w:left="720"/>
    </w:pPr>
    <w:rPr>
      <w:rFonts w:ascii="Calibri" w:hAnsi="Calibri" w:cs="Times New Roman"/>
      <w:lang w:eastAsia="nl-NL"/>
    </w:rPr>
  </w:style>
  <w:style w:type="character" w:styleId="Hyperlink">
    <w:name w:val="Hyperlink"/>
    <w:basedOn w:val="Standaardalinea-lettertype"/>
    <w:uiPriority w:val="99"/>
    <w:unhideWhenUsed/>
    <w:rsid w:val="00CB4ECE"/>
    <w:rPr>
      <w:color w:val="0000FF" w:themeColor="hyperlink"/>
      <w:u w:val="single"/>
    </w:rPr>
  </w:style>
  <w:style w:type="character" w:styleId="GevolgdeHyperlink">
    <w:name w:val="FollowedHyperlink"/>
    <w:basedOn w:val="Standaardalinea-lettertype"/>
    <w:uiPriority w:val="99"/>
    <w:semiHidden/>
    <w:unhideWhenUsed/>
    <w:rsid w:val="00CB4E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7116470">
      <w:bodyDiv w:val="1"/>
      <w:marLeft w:val="0"/>
      <w:marRight w:val="0"/>
      <w:marTop w:val="0"/>
      <w:marBottom w:val="0"/>
      <w:divBdr>
        <w:top w:val="none" w:sz="0" w:space="0" w:color="auto"/>
        <w:left w:val="none" w:sz="0" w:space="0" w:color="auto"/>
        <w:bottom w:val="none" w:sz="0" w:space="0" w:color="auto"/>
        <w:right w:val="none" w:sz="0" w:space="0" w:color="auto"/>
      </w:divBdr>
      <w:divsChild>
        <w:div w:id="1282761832">
          <w:marLeft w:val="0"/>
          <w:marRight w:val="0"/>
          <w:marTop w:val="0"/>
          <w:marBottom w:val="0"/>
          <w:divBdr>
            <w:top w:val="none" w:sz="0" w:space="0" w:color="auto"/>
            <w:left w:val="none" w:sz="0" w:space="0" w:color="auto"/>
            <w:bottom w:val="none" w:sz="0" w:space="0" w:color="auto"/>
            <w:right w:val="none" w:sz="0" w:space="0" w:color="auto"/>
          </w:divBdr>
          <w:divsChild>
            <w:div w:id="929242219">
              <w:marLeft w:val="0"/>
              <w:marRight w:val="0"/>
              <w:marTop w:val="0"/>
              <w:marBottom w:val="0"/>
              <w:divBdr>
                <w:top w:val="none" w:sz="0" w:space="0" w:color="auto"/>
                <w:left w:val="none" w:sz="0" w:space="0" w:color="auto"/>
                <w:bottom w:val="none" w:sz="0" w:space="0" w:color="auto"/>
                <w:right w:val="none" w:sz="0" w:space="0" w:color="auto"/>
              </w:divBdr>
              <w:divsChild>
                <w:div w:id="465201421">
                  <w:marLeft w:val="0"/>
                  <w:marRight w:val="0"/>
                  <w:marTop w:val="0"/>
                  <w:marBottom w:val="0"/>
                  <w:divBdr>
                    <w:top w:val="none" w:sz="0" w:space="0" w:color="auto"/>
                    <w:left w:val="none" w:sz="0" w:space="0" w:color="auto"/>
                    <w:bottom w:val="none" w:sz="0" w:space="0" w:color="auto"/>
                    <w:right w:val="none" w:sz="0" w:space="0" w:color="auto"/>
                  </w:divBdr>
                  <w:divsChild>
                    <w:div w:id="581304868">
                      <w:marLeft w:val="0"/>
                      <w:marRight w:val="0"/>
                      <w:marTop w:val="0"/>
                      <w:marBottom w:val="0"/>
                      <w:divBdr>
                        <w:top w:val="none" w:sz="0" w:space="0" w:color="auto"/>
                        <w:left w:val="none" w:sz="0" w:space="0" w:color="auto"/>
                        <w:bottom w:val="none" w:sz="0" w:space="0" w:color="auto"/>
                        <w:right w:val="none" w:sz="0" w:space="0" w:color="auto"/>
                      </w:divBdr>
                      <w:divsChild>
                        <w:div w:id="5654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16546">
      <w:bodyDiv w:val="1"/>
      <w:marLeft w:val="0"/>
      <w:marRight w:val="0"/>
      <w:marTop w:val="0"/>
      <w:marBottom w:val="0"/>
      <w:divBdr>
        <w:top w:val="none" w:sz="0" w:space="0" w:color="auto"/>
        <w:left w:val="none" w:sz="0" w:space="0" w:color="auto"/>
        <w:bottom w:val="none" w:sz="0" w:space="0" w:color="auto"/>
        <w:right w:val="none" w:sz="0" w:space="0" w:color="auto"/>
      </w:divBdr>
      <w:divsChild>
        <w:div w:id="1926648516">
          <w:marLeft w:val="0"/>
          <w:marRight w:val="0"/>
          <w:marTop w:val="0"/>
          <w:marBottom w:val="0"/>
          <w:divBdr>
            <w:top w:val="none" w:sz="0" w:space="0" w:color="auto"/>
            <w:left w:val="none" w:sz="0" w:space="0" w:color="auto"/>
            <w:bottom w:val="none" w:sz="0" w:space="0" w:color="auto"/>
            <w:right w:val="none" w:sz="0" w:space="0" w:color="auto"/>
          </w:divBdr>
          <w:divsChild>
            <w:div w:id="1746879529">
              <w:marLeft w:val="0"/>
              <w:marRight w:val="0"/>
              <w:marTop w:val="0"/>
              <w:marBottom w:val="0"/>
              <w:divBdr>
                <w:top w:val="none" w:sz="0" w:space="0" w:color="auto"/>
                <w:left w:val="none" w:sz="0" w:space="0" w:color="auto"/>
                <w:bottom w:val="none" w:sz="0" w:space="0" w:color="auto"/>
                <w:right w:val="none" w:sz="0" w:space="0" w:color="auto"/>
              </w:divBdr>
              <w:divsChild>
                <w:div w:id="934167406">
                  <w:marLeft w:val="0"/>
                  <w:marRight w:val="0"/>
                  <w:marTop w:val="0"/>
                  <w:marBottom w:val="0"/>
                  <w:divBdr>
                    <w:top w:val="none" w:sz="0" w:space="0" w:color="auto"/>
                    <w:left w:val="none" w:sz="0" w:space="0" w:color="auto"/>
                    <w:bottom w:val="none" w:sz="0" w:space="0" w:color="auto"/>
                    <w:right w:val="none" w:sz="0" w:space="0" w:color="auto"/>
                  </w:divBdr>
                  <w:divsChild>
                    <w:div w:id="1797916020">
                      <w:marLeft w:val="0"/>
                      <w:marRight w:val="0"/>
                      <w:marTop w:val="0"/>
                      <w:marBottom w:val="0"/>
                      <w:divBdr>
                        <w:top w:val="none" w:sz="0" w:space="0" w:color="auto"/>
                        <w:left w:val="none" w:sz="0" w:space="0" w:color="auto"/>
                        <w:bottom w:val="none" w:sz="0" w:space="0" w:color="auto"/>
                        <w:right w:val="none" w:sz="0" w:space="0" w:color="auto"/>
                      </w:divBdr>
                      <w:divsChild>
                        <w:div w:id="346105655">
                          <w:marLeft w:val="0"/>
                          <w:marRight w:val="0"/>
                          <w:marTop w:val="0"/>
                          <w:marBottom w:val="0"/>
                          <w:divBdr>
                            <w:top w:val="none" w:sz="0" w:space="0" w:color="auto"/>
                            <w:left w:val="none" w:sz="0" w:space="0" w:color="auto"/>
                            <w:bottom w:val="none" w:sz="0" w:space="0" w:color="auto"/>
                            <w:right w:val="none" w:sz="0" w:space="0" w:color="auto"/>
                          </w:divBdr>
                          <w:divsChild>
                            <w:div w:id="48846891">
                              <w:marLeft w:val="0"/>
                              <w:marRight w:val="0"/>
                              <w:marTop w:val="0"/>
                              <w:marBottom w:val="0"/>
                              <w:divBdr>
                                <w:top w:val="none" w:sz="0" w:space="0" w:color="auto"/>
                                <w:left w:val="none" w:sz="0" w:space="0" w:color="auto"/>
                                <w:bottom w:val="none" w:sz="0" w:space="0" w:color="auto"/>
                                <w:right w:val="none" w:sz="0" w:space="0" w:color="auto"/>
                              </w:divBdr>
                              <w:divsChild>
                                <w:div w:id="891623687">
                                  <w:marLeft w:val="0"/>
                                  <w:marRight w:val="0"/>
                                  <w:marTop w:val="0"/>
                                  <w:marBottom w:val="0"/>
                                  <w:divBdr>
                                    <w:top w:val="none" w:sz="0" w:space="0" w:color="auto"/>
                                    <w:left w:val="none" w:sz="0" w:space="0" w:color="auto"/>
                                    <w:bottom w:val="none" w:sz="0" w:space="0" w:color="auto"/>
                                    <w:right w:val="none" w:sz="0" w:space="0" w:color="auto"/>
                                  </w:divBdr>
                                  <w:divsChild>
                                    <w:div w:id="1082920192">
                                      <w:marLeft w:val="0"/>
                                      <w:marRight w:val="0"/>
                                      <w:marTop w:val="0"/>
                                      <w:marBottom w:val="0"/>
                                      <w:divBdr>
                                        <w:top w:val="none" w:sz="0" w:space="0" w:color="auto"/>
                                        <w:left w:val="none" w:sz="0" w:space="0" w:color="auto"/>
                                        <w:bottom w:val="none" w:sz="0" w:space="0" w:color="auto"/>
                                        <w:right w:val="none" w:sz="0" w:space="0" w:color="auto"/>
                                      </w:divBdr>
                                    </w:div>
                                  </w:divsChild>
                                </w:div>
                                <w:div w:id="555699593">
                                  <w:marLeft w:val="0"/>
                                  <w:marRight w:val="0"/>
                                  <w:marTop w:val="0"/>
                                  <w:marBottom w:val="0"/>
                                  <w:divBdr>
                                    <w:top w:val="none" w:sz="0" w:space="0" w:color="auto"/>
                                    <w:left w:val="none" w:sz="0" w:space="0" w:color="auto"/>
                                    <w:bottom w:val="none" w:sz="0" w:space="0" w:color="auto"/>
                                    <w:right w:val="none" w:sz="0" w:space="0" w:color="auto"/>
                                  </w:divBdr>
                                  <w:divsChild>
                                    <w:div w:id="1070733249">
                                      <w:marLeft w:val="0"/>
                                      <w:marRight w:val="0"/>
                                      <w:marTop w:val="0"/>
                                      <w:marBottom w:val="0"/>
                                      <w:divBdr>
                                        <w:top w:val="none" w:sz="0" w:space="0" w:color="auto"/>
                                        <w:left w:val="none" w:sz="0" w:space="0" w:color="auto"/>
                                        <w:bottom w:val="none" w:sz="0" w:space="0" w:color="auto"/>
                                        <w:right w:val="none" w:sz="0" w:space="0" w:color="auto"/>
                                      </w:divBdr>
                                    </w:div>
                                    <w:div w:id="1526137243">
                                      <w:marLeft w:val="0"/>
                                      <w:marRight w:val="0"/>
                                      <w:marTop w:val="0"/>
                                      <w:marBottom w:val="0"/>
                                      <w:divBdr>
                                        <w:top w:val="none" w:sz="0" w:space="0" w:color="auto"/>
                                        <w:left w:val="none" w:sz="0" w:space="0" w:color="auto"/>
                                        <w:bottom w:val="none" w:sz="0" w:space="0" w:color="auto"/>
                                        <w:right w:val="none" w:sz="0" w:space="0" w:color="auto"/>
                                      </w:divBdr>
                                    </w:div>
                                  </w:divsChild>
                                </w:div>
                                <w:div w:id="59796164">
                                  <w:marLeft w:val="0"/>
                                  <w:marRight w:val="0"/>
                                  <w:marTop w:val="0"/>
                                  <w:marBottom w:val="0"/>
                                  <w:divBdr>
                                    <w:top w:val="none" w:sz="0" w:space="0" w:color="auto"/>
                                    <w:left w:val="none" w:sz="0" w:space="0" w:color="auto"/>
                                    <w:bottom w:val="none" w:sz="0" w:space="0" w:color="auto"/>
                                    <w:right w:val="none" w:sz="0" w:space="0" w:color="auto"/>
                                  </w:divBdr>
                                  <w:divsChild>
                                    <w:div w:id="836961224">
                                      <w:marLeft w:val="0"/>
                                      <w:marRight w:val="0"/>
                                      <w:marTop w:val="0"/>
                                      <w:marBottom w:val="0"/>
                                      <w:divBdr>
                                        <w:top w:val="none" w:sz="0" w:space="0" w:color="auto"/>
                                        <w:left w:val="none" w:sz="0" w:space="0" w:color="auto"/>
                                        <w:bottom w:val="none" w:sz="0" w:space="0" w:color="auto"/>
                                        <w:right w:val="none" w:sz="0" w:space="0" w:color="auto"/>
                                      </w:divBdr>
                                    </w:div>
                                    <w:div w:id="3020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1491</Words>
  <Characters>8201</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dc:creator>
  <cp:lastModifiedBy>mdelwig</cp:lastModifiedBy>
  <cp:revision>2</cp:revision>
  <dcterms:created xsi:type="dcterms:W3CDTF">2013-12-10T10:18:00Z</dcterms:created>
  <dcterms:modified xsi:type="dcterms:W3CDTF">2013-12-10T10:18:00Z</dcterms:modified>
</cp:coreProperties>
</file>