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F88EE" w14:textId="63E7F4C5" w:rsidR="009E12AD" w:rsidRDefault="009E12AD">
      <w:pPr>
        <w:rPr>
          <w:rFonts w:ascii="Verdana" w:hAnsi="Verdana"/>
          <w:b/>
          <w:sz w:val="20"/>
          <w:szCs w:val="20"/>
        </w:rPr>
      </w:pPr>
      <w:r w:rsidRPr="009E12AD">
        <w:rPr>
          <w:rFonts w:ascii="Verdana" w:hAnsi="Verdana"/>
          <w:b/>
          <w:sz w:val="20"/>
          <w:szCs w:val="20"/>
        </w:rPr>
        <w:t xml:space="preserve">Overzicht </w:t>
      </w:r>
      <w:r>
        <w:rPr>
          <w:rFonts w:ascii="Verdana" w:hAnsi="Verdana"/>
          <w:b/>
          <w:sz w:val="20"/>
          <w:szCs w:val="20"/>
        </w:rPr>
        <w:t>gerechtelijke uitspraken inzake nabetaling ORT tijdens vakantie</w:t>
      </w:r>
    </w:p>
    <w:p w14:paraId="2A439DB6" w14:textId="77777777" w:rsidR="00682231" w:rsidRDefault="00682231">
      <w:pPr>
        <w:rPr>
          <w:rStyle w:val="s1"/>
          <w:rFonts w:ascii="Verdana" w:hAnsi="Verdana"/>
          <w:sz w:val="20"/>
          <w:szCs w:val="20"/>
        </w:rPr>
      </w:pPr>
    </w:p>
    <w:p w14:paraId="2B72FC77" w14:textId="65708FA5" w:rsidR="00E26142" w:rsidRDefault="0024353A">
      <w:pPr>
        <w:rPr>
          <w:rStyle w:val="s1"/>
          <w:rFonts w:ascii="Verdana" w:hAnsi="Verdana"/>
          <w:sz w:val="20"/>
          <w:szCs w:val="20"/>
        </w:rPr>
      </w:pPr>
      <w:bookmarkStart w:id="0" w:name="_GoBack"/>
      <w:bookmarkEnd w:id="0"/>
      <w:r>
        <w:rPr>
          <w:rStyle w:val="s1"/>
          <w:rFonts w:ascii="Verdana" w:hAnsi="Verdana"/>
          <w:sz w:val="20"/>
          <w:szCs w:val="20"/>
        </w:rPr>
        <w:t xml:space="preserve">Het afgelopen jaar zijn er </w:t>
      </w:r>
      <w:r w:rsidR="002F281E">
        <w:rPr>
          <w:rStyle w:val="s1"/>
          <w:rFonts w:ascii="Verdana" w:hAnsi="Verdana"/>
          <w:sz w:val="20"/>
          <w:szCs w:val="20"/>
        </w:rPr>
        <w:t xml:space="preserve">in diverse branches </w:t>
      </w:r>
      <w:r>
        <w:rPr>
          <w:rStyle w:val="s1"/>
          <w:rFonts w:ascii="Verdana" w:hAnsi="Verdana"/>
          <w:sz w:val="20"/>
          <w:szCs w:val="20"/>
        </w:rPr>
        <w:t>gerechtelijke uitspraken gedaan</w:t>
      </w:r>
      <w:r w:rsidR="009E12AD">
        <w:rPr>
          <w:rStyle w:val="s1"/>
          <w:rFonts w:ascii="Verdana" w:hAnsi="Verdana"/>
          <w:sz w:val="20"/>
          <w:szCs w:val="20"/>
        </w:rPr>
        <w:t xml:space="preserve"> over de nabetaling van ORT tijdens vakantie</w:t>
      </w:r>
      <w:r w:rsidR="002F281E">
        <w:rPr>
          <w:rStyle w:val="s1"/>
          <w:rFonts w:ascii="Verdana" w:hAnsi="Verdana"/>
          <w:sz w:val="20"/>
          <w:szCs w:val="20"/>
        </w:rPr>
        <w:t xml:space="preserve">. </w:t>
      </w:r>
      <w:r w:rsidRPr="00742376">
        <w:rPr>
          <w:rStyle w:val="s1"/>
          <w:rFonts w:ascii="Verdana" w:hAnsi="Verdana"/>
          <w:sz w:val="20"/>
          <w:szCs w:val="20"/>
        </w:rPr>
        <w:t>In de meeste uitspraken oordeelt de rechter dat de werkgever gehouden is tot een nabetaling</w:t>
      </w:r>
      <w:r w:rsidR="009E12AD">
        <w:rPr>
          <w:rStyle w:val="s1"/>
          <w:rFonts w:ascii="Verdana" w:hAnsi="Verdana"/>
          <w:sz w:val="20"/>
          <w:szCs w:val="20"/>
        </w:rPr>
        <w:t xml:space="preserve">. </w:t>
      </w:r>
      <w:r w:rsidRPr="0024353A">
        <w:rPr>
          <w:rStyle w:val="s2"/>
          <w:rFonts w:ascii="Verdana" w:hAnsi="Verdana"/>
          <w:color w:val="auto"/>
          <w:sz w:val="20"/>
          <w:szCs w:val="20"/>
        </w:rPr>
        <w:t>D</w:t>
      </w:r>
      <w:r w:rsidRPr="0024353A">
        <w:rPr>
          <w:rStyle w:val="s1"/>
          <w:rFonts w:ascii="Verdana" w:hAnsi="Verdana"/>
          <w:sz w:val="20"/>
          <w:szCs w:val="20"/>
        </w:rPr>
        <w:t xml:space="preserve">e rechters zijn </w:t>
      </w:r>
      <w:r w:rsidRPr="0024353A">
        <w:rPr>
          <w:rStyle w:val="s2"/>
          <w:rFonts w:ascii="Verdana" w:hAnsi="Verdana"/>
          <w:color w:val="auto"/>
          <w:sz w:val="20"/>
          <w:szCs w:val="20"/>
        </w:rPr>
        <w:t xml:space="preserve">echter </w:t>
      </w:r>
      <w:r w:rsidRPr="0024353A">
        <w:rPr>
          <w:rStyle w:val="s1"/>
          <w:rFonts w:ascii="Verdana" w:hAnsi="Verdana"/>
          <w:sz w:val="20"/>
          <w:szCs w:val="20"/>
        </w:rPr>
        <w:t xml:space="preserve">niet eenduidig in hun oordeel over welke vormen van vakantie en verlof ORT betaald dient te worden. Ook wordt verschillend omgegaan met </w:t>
      </w:r>
      <w:r w:rsidRPr="0024353A">
        <w:rPr>
          <w:rStyle w:val="s2"/>
          <w:rFonts w:ascii="Verdana" w:hAnsi="Verdana"/>
          <w:color w:val="auto"/>
          <w:sz w:val="20"/>
          <w:szCs w:val="20"/>
        </w:rPr>
        <w:t>toekenning</w:t>
      </w:r>
      <w:r w:rsidRPr="0024353A">
        <w:rPr>
          <w:rStyle w:val="s1"/>
          <w:rFonts w:ascii="Verdana" w:hAnsi="Verdana"/>
          <w:sz w:val="20"/>
          <w:szCs w:val="20"/>
        </w:rPr>
        <w:t xml:space="preserve"> van de wettelijke verhoging</w:t>
      </w:r>
      <w:r w:rsidR="001028E2">
        <w:rPr>
          <w:rStyle w:val="s1"/>
          <w:rFonts w:ascii="Verdana" w:hAnsi="Verdana"/>
          <w:sz w:val="20"/>
          <w:szCs w:val="20"/>
        </w:rPr>
        <w:t xml:space="preserve"> en wettelijke rente</w:t>
      </w:r>
      <w:r w:rsidRPr="0024353A">
        <w:rPr>
          <w:rStyle w:val="s1"/>
          <w:rFonts w:ascii="Verdana" w:hAnsi="Verdana"/>
          <w:sz w:val="20"/>
          <w:szCs w:val="20"/>
        </w:rPr>
        <w:t xml:space="preserve">. </w:t>
      </w:r>
      <w:r>
        <w:rPr>
          <w:rStyle w:val="s1"/>
          <w:rFonts w:ascii="Verdana" w:hAnsi="Verdana"/>
          <w:sz w:val="20"/>
          <w:szCs w:val="20"/>
        </w:rPr>
        <w:t>Hierbij treft u een overzicht aan van de belangrijkste rechtsvragen</w:t>
      </w:r>
      <w:r w:rsidR="00826F19">
        <w:rPr>
          <w:rStyle w:val="s1"/>
          <w:rFonts w:ascii="Verdana" w:hAnsi="Verdana"/>
          <w:sz w:val="20"/>
          <w:szCs w:val="20"/>
        </w:rPr>
        <w:t xml:space="preserve"> die in de uitspraken worden behandeld</w:t>
      </w:r>
      <w:r>
        <w:rPr>
          <w:rStyle w:val="s1"/>
          <w:rFonts w:ascii="Verdana" w:hAnsi="Verdana"/>
          <w:sz w:val="20"/>
          <w:szCs w:val="20"/>
        </w:rPr>
        <w:t xml:space="preserve">. </w:t>
      </w:r>
      <w:r w:rsidR="009E12AD">
        <w:rPr>
          <w:rStyle w:val="s1"/>
          <w:rFonts w:ascii="Verdana" w:hAnsi="Verdana"/>
          <w:sz w:val="20"/>
          <w:szCs w:val="20"/>
        </w:rPr>
        <w:t>Ook vindt u linkjes naar de bij ons bekende uitspraken.</w:t>
      </w:r>
    </w:p>
    <w:p w14:paraId="5A6B678E" w14:textId="77777777" w:rsidR="00682231" w:rsidRDefault="00682231">
      <w:pPr>
        <w:rPr>
          <w:rFonts w:ascii="Verdana" w:hAnsi="Verdana"/>
          <w:sz w:val="20"/>
          <w:szCs w:val="20"/>
          <w:u w:val="single"/>
        </w:rPr>
      </w:pPr>
    </w:p>
    <w:p w14:paraId="127690FE" w14:textId="0992A909" w:rsidR="00A50B92" w:rsidRDefault="001028E2">
      <w:pPr>
        <w:rPr>
          <w:rFonts w:ascii="Verdana" w:hAnsi="Verdana"/>
          <w:sz w:val="20"/>
          <w:szCs w:val="20"/>
          <w:u w:val="single"/>
        </w:rPr>
      </w:pPr>
      <w:r>
        <w:rPr>
          <w:rFonts w:ascii="Verdana" w:hAnsi="Verdana"/>
          <w:sz w:val="20"/>
          <w:szCs w:val="20"/>
          <w:u w:val="single"/>
        </w:rPr>
        <w:t>Is er sprake van i</w:t>
      </w:r>
      <w:r w:rsidR="00FC0CD9" w:rsidRPr="00FC0CD9">
        <w:rPr>
          <w:rFonts w:ascii="Verdana" w:hAnsi="Verdana"/>
          <w:sz w:val="20"/>
          <w:szCs w:val="20"/>
          <w:u w:val="single"/>
        </w:rPr>
        <w:t>ntrinsiek verband</w:t>
      </w:r>
      <w:r>
        <w:rPr>
          <w:rFonts w:ascii="Verdana" w:hAnsi="Verdana"/>
          <w:sz w:val="20"/>
          <w:szCs w:val="20"/>
          <w:u w:val="single"/>
        </w:rPr>
        <w:t>?</w:t>
      </w:r>
    </w:p>
    <w:p w14:paraId="0632CDDB" w14:textId="6DB002CD" w:rsidR="00E26142" w:rsidRPr="00826F19" w:rsidRDefault="001028E2">
      <w:pPr>
        <w:rPr>
          <w:rFonts w:ascii="Verdana" w:hAnsi="Verdana"/>
          <w:sz w:val="20"/>
          <w:szCs w:val="20"/>
        </w:rPr>
      </w:pPr>
      <w:r>
        <w:rPr>
          <w:rFonts w:ascii="Verdana" w:hAnsi="Verdana"/>
          <w:sz w:val="20"/>
          <w:szCs w:val="20"/>
        </w:rPr>
        <w:t xml:space="preserve">Het </w:t>
      </w:r>
      <w:r w:rsidR="007F0EE4">
        <w:rPr>
          <w:rFonts w:ascii="Verdana" w:hAnsi="Verdana"/>
          <w:sz w:val="20"/>
          <w:szCs w:val="20"/>
        </w:rPr>
        <w:t xml:space="preserve">Europese Hof van Justitie heeft </w:t>
      </w:r>
      <w:r>
        <w:rPr>
          <w:rFonts w:ascii="Verdana" w:hAnsi="Verdana"/>
          <w:sz w:val="20"/>
          <w:szCs w:val="20"/>
        </w:rPr>
        <w:t xml:space="preserve">in een </w:t>
      </w:r>
      <w:hyperlink r:id="rId6" w:history="1">
        <w:r w:rsidRPr="00826F19">
          <w:rPr>
            <w:rStyle w:val="Hyperlink"/>
            <w:rFonts w:ascii="Verdana" w:hAnsi="Verdana"/>
            <w:sz w:val="20"/>
            <w:szCs w:val="20"/>
          </w:rPr>
          <w:t>uitspraak</w:t>
        </w:r>
      </w:hyperlink>
      <w:r>
        <w:rPr>
          <w:rFonts w:ascii="Verdana" w:hAnsi="Verdana"/>
          <w:sz w:val="20"/>
          <w:szCs w:val="20"/>
        </w:rPr>
        <w:t xml:space="preserve"> geoordeeld</w:t>
      </w:r>
      <w:r w:rsidR="007F0EE4">
        <w:rPr>
          <w:rFonts w:ascii="Verdana" w:hAnsi="Verdana"/>
          <w:sz w:val="20"/>
          <w:szCs w:val="20"/>
        </w:rPr>
        <w:t xml:space="preserve"> wat de omvang van de beloning tijdens vakantie dient te zijn</w:t>
      </w:r>
      <w:r>
        <w:rPr>
          <w:rFonts w:ascii="Verdana" w:hAnsi="Verdana"/>
          <w:sz w:val="20"/>
          <w:szCs w:val="20"/>
        </w:rPr>
        <w:t xml:space="preserve">. Het </w:t>
      </w:r>
      <w:r w:rsidR="00826F19">
        <w:rPr>
          <w:rFonts w:ascii="Verdana" w:hAnsi="Verdana"/>
          <w:sz w:val="20"/>
          <w:szCs w:val="20"/>
        </w:rPr>
        <w:t xml:space="preserve">Europese </w:t>
      </w:r>
      <w:r>
        <w:rPr>
          <w:rFonts w:ascii="Verdana" w:hAnsi="Verdana"/>
          <w:sz w:val="20"/>
          <w:szCs w:val="20"/>
        </w:rPr>
        <w:t>Hof slui</w:t>
      </w:r>
      <w:r w:rsidR="007F0EE4">
        <w:rPr>
          <w:rFonts w:ascii="Verdana" w:hAnsi="Verdana"/>
          <w:sz w:val="20"/>
          <w:szCs w:val="20"/>
        </w:rPr>
        <w:t xml:space="preserve">t hierbij aan bij het begrip ‘intrinsiek verband’. </w:t>
      </w:r>
      <w:r>
        <w:rPr>
          <w:rFonts w:ascii="Verdana" w:hAnsi="Verdana"/>
          <w:sz w:val="20"/>
          <w:szCs w:val="20"/>
        </w:rPr>
        <w:t xml:space="preserve"> Dit betekent </w:t>
      </w:r>
      <w:r w:rsidRPr="001028E2">
        <w:rPr>
          <w:rFonts w:ascii="Verdana" w:hAnsi="Verdana"/>
          <w:sz w:val="20"/>
          <w:szCs w:val="20"/>
        </w:rPr>
        <w:t xml:space="preserve">dat </w:t>
      </w:r>
      <w:r w:rsidRPr="00F91EB7">
        <w:rPr>
          <w:rFonts w:ascii="Verdana" w:hAnsi="Verdana"/>
          <w:sz w:val="20"/>
          <w:szCs w:val="20"/>
        </w:rPr>
        <w:t>e</w:t>
      </w:r>
      <w:r w:rsidR="007F0EE4" w:rsidRPr="00F91EB7">
        <w:rPr>
          <w:rStyle w:val="Nadruk1"/>
          <w:rFonts w:ascii="Verdana" w:hAnsi="Verdana"/>
          <w:iCs/>
          <w:sz w:val="20"/>
          <w:szCs w:val="20"/>
        </w:rPr>
        <w:t xml:space="preserve">lke last die intrinsiek samenhangt met de uitvoering van de taken die de werknemer zijn opgedragen in zijn arbeidsovereenkomst en waarvoor hij een financiële vergoeding ontvangt, wordt gerekend tot de globale beloning van de </w:t>
      </w:r>
      <w:r w:rsidR="007F0EE4" w:rsidRPr="00826F19">
        <w:rPr>
          <w:rStyle w:val="Nadruk1"/>
          <w:rFonts w:ascii="Verdana" w:hAnsi="Verdana"/>
          <w:iCs/>
          <w:sz w:val="20"/>
          <w:szCs w:val="20"/>
        </w:rPr>
        <w:t>werknemer</w:t>
      </w:r>
      <w:r w:rsidR="00826F19">
        <w:rPr>
          <w:rStyle w:val="Nadruk1"/>
          <w:rFonts w:ascii="Verdana" w:hAnsi="Verdana"/>
          <w:iCs/>
          <w:sz w:val="20"/>
          <w:szCs w:val="20"/>
        </w:rPr>
        <w:t xml:space="preserve">. </w:t>
      </w:r>
      <w:r w:rsidR="00CF738D" w:rsidRPr="00CF738D">
        <w:rPr>
          <w:rStyle w:val="Nadruk1"/>
          <w:rFonts w:ascii="Verdana" w:hAnsi="Verdana"/>
          <w:iCs/>
          <w:sz w:val="20"/>
          <w:szCs w:val="20"/>
        </w:rPr>
        <w:t>Deze last</w:t>
      </w:r>
      <w:r w:rsidR="00CF738D" w:rsidRPr="00CF738D">
        <w:rPr>
          <w:rFonts w:ascii="Verdana" w:hAnsi="Verdana"/>
          <w:sz w:val="20"/>
          <w:szCs w:val="20"/>
        </w:rPr>
        <w:t xml:space="preserve"> moet dan ook deel uitmaken van het bedrag waarop de werknemer recht heeft gedurende zijn jaarlijkse vakantie.</w:t>
      </w:r>
    </w:p>
    <w:p w14:paraId="583CF05A" w14:textId="2017626C" w:rsidR="002F281E" w:rsidRDefault="00FC0CD9" w:rsidP="00F91EB7">
      <w:pPr>
        <w:pStyle w:val="Tekstopmerking"/>
        <w:rPr>
          <w:rFonts w:ascii="Verdana" w:hAnsi="Verdana"/>
        </w:rPr>
      </w:pPr>
      <w:r w:rsidRPr="002F281E">
        <w:rPr>
          <w:rFonts w:ascii="Verdana" w:hAnsi="Verdana"/>
        </w:rPr>
        <w:t xml:space="preserve">In </w:t>
      </w:r>
      <w:r w:rsidR="00F91EB7">
        <w:rPr>
          <w:rFonts w:ascii="Verdana" w:hAnsi="Verdana"/>
        </w:rPr>
        <w:t>bijna alle</w:t>
      </w:r>
      <w:r w:rsidRPr="002F281E">
        <w:rPr>
          <w:rFonts w:ascii="Verdana" w:hAnsi="Verdana"/>
        </w:rPr>
        <w:t xml:space="preserve"> </w:t>
      </w:r>
      <w:r w:rsidR="00CF738D">
        <w:rPr>
          <w:rFonts w:ascii="Verdana" w:hAnsi="Verdana"/>
        </w:rPr>
        <w:t>zaken die vervolgens aan de Nederlandse rechter zijn voorgelegd,</w:t>
      </w:r>
      <w:r w:rsidRPr="002F281E">
        <w:rPr>
          <w:rFonts w:ascii="Verdana" w:hAnsi="Verdana"/>
        </w:rPr>
        <w:t xml:space="preserve"> oordeelt de rechter dat </w:t>
      </w:r>
      <w:r w:rsidR="002F281E" w:rsidRPr="002F281E">
        <w:rPr>
          <w:rFonts w:ascii="Verdana" w:hAnsi="Verdana"/>
        </w:rPr>
        <w:t xml:space="preserve">de ORT een component vormt die intrinsiek samenhangt met de taken die </w:t>
      </w:r>
      <w:r w:rsidR="00CF738D">
        <w:rPr>
          <w:rFonts w:ascii="Verdana" w:hAnsi="Verdana"/>
        </w:rPr>
        <w:t xml:space="preserve">de </w:t>
      </w:r>
      <w:r w:rsidR="002F281E" w:rsidRPr="002F281E">
        <w:rPr>
          <w:rFonts w:ascii="Verdana" w:hAnsi="Verdana"/>
        </w:rPr>
        <w:t xml:space="preserve">werknemer in zijn arbeidsovereenkomst </w:t>
      </w:r>
      <w:r w:rsidR="00CF738D">
        <w:rPr>
          <w:rFonts w:ascii="Verdana" w:hAnsi="Verdana"/>
        </w:rPr>
        <w:t>zijn</w:t>
      </w:r>
      <w:r w:rsidR="002F281E" w:rsidRPr="002F281E">
        <w:rPr>
          <w:rFonts w:ascii="Verdana" w:hAnsi="Verdana"/>
        </w:rPr>
        <w:t xml:space="preserve"> opgedragen.</w:t>
      </w:r>
      <w:r w:rsidR="00F91EB7">
        <w:rPr>
          <w:rFonts w:ascii="Verdana" w:hAnsi="Verdana"/>
        </w:rPr>
        <w:t xml:space="preserve"> Hiermee hebben de werknemers in de voorgelegde zaken recht op nabetaling van ORT tijdens vakantie. </w:t>
      </w:r>
      <w:r w:rsidR="00CF738D">
        <w:rPr>
          <w:rFonts w:ascii="Verdana" w:hAnsi="Verdana"/>
        </w:rPr>
        <w:t xml:space="preserve">Wellicht ten overvloede: het betreft hier individuele casuïstiek. </w:t>
      </w:r>
    </w:p>
    <w:p w14:paraId="28F64D5F" w14:textId="77777777" w:rsidR="00226BD9" w:rsidRDefault="00226BD9" w:rsidP="00F91EB7">
      <w:pPr>
        <w:pStyle w:val="Tekstopmerking"/>
        <w:rPr>
          <w:rFonts w:ascii="Verdana" w:hAnsi="Verdana"/>
          <w:u w:val="single"/>
        </w:rPr>
      </w:pPr>
    </w:p>
    <w:p w14:paraId="1C6C0428" w14:textId="34DD8928" w:rsidR="00FC0CD9" w:rsidRPr="00FC0CD9" w:rsidRDefault="00FC0CD9">
      <w:pPr>
        <w:rPr>
          <w:rFonts w:ascii="Verdana" w:hAnsi="Verdana"/>
          <w:sz w:val="20"/>
          <w:szCs w:val="20"/>
          <w:u w:val="single"/>
        </w:rPr>
      </w:pPr>
      <w:r w:rsidRPr="00FC0CD9">
        <w:rPr>
          <w:rFonts w:ascii="Verdana" w:hAnsi="Verdana"/>
          <w:sz w:val="20"/>
          <w:szCs w:val="20"/>
          <w:u w:val="single"/>
        </w:rPr>
        <w:t>Over welke vormen van vakantie/verlof dient te worden nabetaald</w:t>
      </w:r>
      <w:r w:rsidR="002F281E">
        <w:rPr>
          <w:rFonts w:ascii="Verdana" w:hAnsi="Verdana"/>
          <w:sz w:val="20"/>
          <w:szCs w:val="20"/>
          <w:u w:val="single"/>
        </w:rPr>
        <w:t>?</w:t>
      </w:r>
    </w:p>
    <w:p w14:paraId="76E83B95" w14:textId="616F2F7B" w:rsidR="00FC0CD9" w:rsidRPr="00FC0CD9" w:rsidRDefault="00F91EB7">
      <w:pPr>
        <w:rPr>
          <w:rFonts w:ascii="Verdana" w:hAnsi="Verdana"/>
          <w:sz w:val="20"/>
          <w:szCs w:val="20"/>
        </w:rPr>
      </w:pPr>
      <w:r>
        <w:rPr>
          <w:rFonts w:ascii="Verdana" w:hAnsi="Verdana"/>
          <w:sz w:val="20"/>
          <w:szCs w:val="20"/>
        </w:rPr>
        <w:t xml:space="preserve">Werknemers vorderen bij de rechter niet alleen nabetaling van ORT over wettelijke vakantie-uren maar ook over bovenwettelijke vakantie-uren en andere vormen van verlof. </w:t>
      </w:r>
      <w:r w:rsidR="00963986">
        <w:rPr>
          <w:rFonts w:ascii="Verdana" w:hAnsi="Verdana"/>
          <w:sz w:val="20"/>
          <w:szCs w:val="20"/>
        </w:rPr>
        <w:t>De meeste</w:t>
      </w:r>
      <w:r w:rsidR="00FC0CD9">
        <w:rPr>
          <w:rFonts w:ascii="Verdana" w:hAnsi="Verdana"/>
          <w:sz w:val="20"/>
          <w:szCs w:val="20"/>
        </w:rPr>
        <w:t xml:space="preserve"> uitspraken </w:t>
      </w:r>
      <w:r w:rsidR="00963986">
        <w:rPr>
          <w:rFonts w:ascii="Verdana" w:hAnsi="Verdana"/>
          <w:sz w:val="20"/>
          <w:szCs w:val="20"/>
        </w:rPr>
        <w:t>geven aan dat</w:t>
      </w:r>
      <w:r w:rsidR="00C05F80">
        <w:rPr>
          <w:rFonts w:ascii="Verdana" w:hAnsi="Verdana"/>
          <w:sz w:val="20"/>
          <w:szCs w:val="20"/>
        </w:rPr>
        <w:t xml:space="preserve"> </w:t>
      </w:r>
      <w:r w:rsidR="00FC0CD9">
        <w:rPr>
          <w:rFonts w:ascii="Verdana" w:hAnsi="Verdana"/>
          <w:sz w:val="20"/>
          <w:szCs w:val="20"/>
        </w:rPr>
        <w:t xml:space="preserve">over </w:t>
      </w:r>
      <w:r w:rsidR="00963986">
        <w:rPr>
          <w:rFonts w:ascii="Verdana" w:hAnsi="Verdana"/>
          <w:sz w:val="20"/>
          <w:szCs w:val="20"/>
        </w:rPr>
        <w:t xml:space="preserve">zowel wettelijke als </w:t>
      </w:r>
      <w:r w:rsidR="00FC0CD9">
        <w:rPr>
          <w:rFonts w:ascii="Verdana" w:hAnsi="Verdana"/>
          <w:sz w:val="20"/>
          <w:szCs w:val="20"/>
        </w:rPr>
        <w:t xml:space="preserve">bovenwettelijke vakantie-uren </w:t>
      </w:r>
      <w:r w:rsidR="007F0EE4">
        <w:rPr>
          <w:rFonts w:ascii="Verdana" w:hAnsi="Verdana"/>
          <w:sz w:val="20"/>
          <w:szCs w:val="20"/>
        </w:rPr>
        <w:t>en/</w:t>
      </w:r>
      <w:r w:rsidR="00FC0CD9">
        <w:rPr>
          <w:rFonts w:ascii="Verdana" w:hAnsi="Verdana"/>
          <w:sz w:val="20"/>
          <w:szCs w:val="20"/>
        </w:rPr>
        <w:t xml:space="preserve">of andere vormen van verlof een nabetaling moet plaatsvinden. </w:t>
      </w:r>
      <w:r w:rsidR="00963986">
        <w:rPr>
          <w:rFonts w:ascii="Verdana" w:hAnsi="Verdana"/>
          <w:sz w:val="20"/>
          <w:szCs w:val="20"/>
        </w:rPr>
        <w:t>In een enkele uitspraak oordeelt een rechter dat er uitsluitend nabetaling dient plaats te vinden over de wettelijke vakantie-uren.</w:t>
      </w:r>
    </w:p>
    <w:p w14:paraId="4642C727" w14:textId="77777777" w:rsidR="00FC0CD9" w:rsidRPr="002F281E" w:rsidRDefault="00FC0CD9">
      <w:pPr>
        <w:rPr>
          <w:rFonts w:ascii="Verdana" w:hAnsi="Verdana"/>
          <w:sz w:val="20"/>
          <w:szCs w:val="20"/>
          <w:u w:val="single"/>
        </w:rPr>
      </w:pPr>
    </w:p>
    <w:p w14:paraId="0ADEFF1C" w14:textId="16206141" w:rsidR="00FC0CD9" w:rsidRPr="002F281E" w:rsidRDefault="001028E2">
      <w:pPr>
        <w:rPr>
          <w:rFonts w:ascii="Verdana" w:hAnsi="Verdana"/>
          <w:sz w:val="20"/>
          <w:szCs w:val="20"/>
          <w:u w:val="single"/>
        </w:rPr>
      </w:pPr>
      <w:r>
        <w:rPr>
          <w:rFonts w:ascii="Verdana" w:hAnsi="Verdana"/>
          <w:sz w:val="20"/>
          <w:szCs w:val="20"/>
          <w:u w:val="single"/>
        </w:rPr>
        <w:t>Bestaat er recht op w</w:t>
      </w:r>
      <w:r w:rsidR="00FC0CD9" w:rsidRPr="002F281E">
        <w:rPr>
          <w:rFonts w:ascii="Verdana" w:hAnsi="Verdana"/>
          <w:sz w:val="20"/>
          <w:szCs w:val="20"/>
          <w:u w:val="single"/>
        </w:rPr>
        <w:t>ettelijke verhoging</w:t>
      </w:r>
      <w:r>
        <w:rPr>
          <w:rFonts w:ascii="Verdana" w:hAnsi="Verdana"/>
          <w:sz w:val="20"/>
          <w:szCs w:val="20"/>
          <w:u w:val="single"/>
        </w:rPr>
        <w:t>?</w:t>
      </w:r>
    </w:p>
    <w:p w14:paraId="0F2AE772" w14:textId="77777777" w:rsidR="00963986" w:rsidRPr="00963986" w:rsidRDefault="00963986">
      <w:pPr>
        <w:rPr>
          <w:rFonts w:ascii="Verdana" w:hAnsi="Verdana"/>
          <w:sz w:val="20"/>
          <w:szCs w:val="20"/>
        </w:rPr>
      </w:pPr>
      <w:r w:rsidRPr="00963986">
        <w:rPr>
          <w:rFonts w:ascii="Verdana" w:hAnsi="Verdana"/>
          <w:sz w:val="20"/>
          <w:szCs w:val="20"/>
        </w:rPr>
        <w:t xml:space="preserve">Betaalt een werkgever niet op tijd dan kan een werknemer een wettelijke verhoging vorderen wegens vertraging. De wettelijke verhoging kan oplopen tot 50% maar kan door een rechter gematigd worden. </w:t>
      </w:r>
    </w:p>
    <w:p w14:paraId="27ED83C7" w14:textId="3D7673FF" w:rsidR="00FC0CD9" w:rsidRPr="002F281E" w:rsidRDefault="00FC0CD9">
      <w:pPr>
        <w:rPr>
          <w:rFonts w:ascii="Verdana" w:hAnsi="Verdana"/>
          <w:sz w:val="20"/>
          <w:szCs w:val="20"/>
        </w:rPr>
      </w:pPr>
      <w:r w:rsidRPr="002F281E">
        <w:rPr>
          <w:rFonts w:ascii="Verdana" w:hAnsi="Verdana"/>
          <w:sz w:val="20"/>
          <w:szCs w:val="20"/>
        </w:rPr>
        <w:t xml:space="preserve">In </w:t>
      </w:r>
      <w:r w:rsidR="00963986">
        <w:rPr>
          <w:rFonts w:ascii="Verdana" w:hAnsi="Verdana"/>
          <w:sz w:val="20"/>
          <w:szCs w:val="20"/>
        </w:rPr>
        <w:t xml:space="preserve">de meeste </w:t>
      </w:r>
      <w:r w:rsidRPr="002F281E">
        <w:rPr>
          <w:rFonts w:ascii="Verdana" w:hAnsi="Verdana"/>
          <w:sz w:val="20"/>
          <w:szCs w:val="20"/>
        </w:rPr>
        <w:t>uitspraken wordt de wettelijke verhoging</w:t>
      </w:r>
      <w:r w:rsidR="00892725" w:rsidRPr="002F281E">
        <w:rPr>
          <w:rFonts w:ascii="Verdana" w:hAnsi="Verdana"/>
          <w:sz w:val="20"/>
          <w:szCs w:val="20"/>
        </w:rPr>
        <w:t xml:space="preserve"> gematigd, soms zelfs tot nihil, danwel afgewezen.</w:t>
      </w:r>
    </w:p>
    <w:p w14:paraId="5DE54262" w14:textId="77777777" w:rsidR="00FC0CD9" w:rsidRPr="002F281E" w:rsidRDefault="00FC0CD9">
      <w:pPr>
        <w:rPr>
          <w:rFonts w:ascii="Verdana" w:hAnsi="Verdana"/>
          <w:sz w:val="20"/>
          <w:szCs w:val="20"/>
        </w:rPr>
      </w:pPr>
    </w:p>
    <w:p w14:paraId="3F308251" w14:textId="6424179B" w:rsidR="00FC0CD9" w:rsidRPr="002F281E" w:rsidRDefault="001028E2">
      <w:pPr>
        <w:rPr>
          <w:rFonts w:ascii="Verdana" w:hAnsi="Verdana"/>
          <w:sz w:val="20"/>
          <w:szCs w:val="20"/>
          <w:u w:val="single"/>
        </w:rPr>
      </w:pPr>
      <w:r>
        <w:rPr>
          <w:rFonts w:ascii="Verdana" w:hAnsi="Verdana"/>
          <w:sz w:val="20"/>
          <w:szCs w:val="20"/>
          <w:u w:val="single"/>
        </w:rPr>
        <w:t>Bestaat er recht op w</w:t>
      </w:r>
      <w:r w:rsidR="00FC0CD9" w:rsidRPr="002F281E">
        <w:rPr>
          <w:rFonts w:ascii="Verdana" w:hAnsi="Verdana"/>
          <w:sz w:val="20"/>
          <w:szCs w:val="20"/>
          <w:u w:val="single"/>
        </w:rPr>
        <w:t>ettelijke rente</w:t>
      </w:r>
      <w:r>
        <w:rPr>
          <w:rFonts w:ascii="Verdana" w:hAnsi="Verdana"/>
          <w:sz w:val="20"/>
          <w:szCs w:val="20"/>
          <w:u w:val="single"/>
        </w:rPr>
        <w:t>?</w:t>
      </w:r>
    </w:p>
    <w:p w14:paraId="20B8855E" w14:textId="6C6AEF10" w:rsidR="00226BD9" w:rsidRPr="00226BD9" w:rsidRDefault="00226BD9" w:rsidP="002F281E">
      <w:pPr>
        <w:pStyle w:val="Tekstopmerking"/>
        <w:rPr>
          <w:rFonts w:ascii="Verdana" w:hAnsi="Verdana"/>
        </w:rPr>
      </w:pPr>
      <w:r>
        <w:rPr>
          <w:rFonts w:ascii="Verdana" w:hAnsi="Verdana"/>
        </w:rPr>
        <w:t>Naast de wettelijke verhoging kan</w:t>
      </w:r>
      <w:r w:rsidR="00963986" w:rsidRPr="00226BD9">
        <w:rPr>
          <w:rFonts w:ascii="Verdana" w:hAnsi="Verdana"/>
        </w:rPr>
        <w:t xml:space="preserve"> de </w:t>
      </w:r>
      <w:r w:rsidRPr="00226BD9">
        <w:rPr>
          <w:rFonts w:ascii="Verdana" w:hAnsi="Verdana"/>
        </w:rPr>
        <w:t xml:space="preserve">werknemer </w:t>
      </w:r>
      <w:r>
        <w:rPr>
          <w:rFonts w:ascii="Verdana" w:hAnsi="Verdana"/>
        </w:rPr>
        <w:t>ook een betaling van de wettelijke rente vorderen.</w:t>
      </w:r>
    </w:p>
    <w:p w14:paraId="41CF99CA" w14:textId="0354FD6F" w:rsidR="002F281E" w:rsidRDefault="00226BD9" w:rsidP="002F281E">
      <w:pPr>
        <w:pStyle w:val="Tekstopmerking"/>
        <w:rPr>
          <w:rFonts w:ascii="Verdana" w:hAnsi="Verdana"/>
        </w:rPr>
      </w:pPr>
      <w:r>
        <w:rPr>
          <w:rFonts w:ascii="Verdana" w:hAnsi="Verdana"/>
        </w:rPr>
        <w:lastRenderedPageBreak/>
        <w:t>Uit de gepubliceerde uitspraken blijkt dat h</w:t>
      </w:r>
      <w:r w:rsidR="002F281E">
        <w:rPr>
          <w:rFonts w:ascii="Verdana" w:hAnsi="Verdana"/>
        </w:rPr>
        <w:t>et m</w:t>
      </w:r>
      <w:r w:rsidR="002F281E" w:rsidRPr="002F281E">
        <w:rPr>
          <w:rFonts w:ascii="Verdana" w:hAnsi="Verdana"/>
        </w:rPr>
        <w:t xml:space="preserve">erendeel van de rechters </w:t>
      </w:r>
      <w:r>
        <w:rPr>
          <w:rFonts w:ascii="Verdana" w:hAnsi="Verdana"/>
        </w:rPr>
        <w:t>deze vordering</w:t>
      </w:r>
      <w:r w:rsidR="002F281E" w:rsidRPr="002F281E">
        <w:rPr>
          <w:rFonts w:ascii="Verdana" w:hAnsi="Verdana"/>
        </w:rPr>
        <w:t xml:space="preserve"> toe</w:t>
      </w:r>
      <w:r>
        <w:rPr>
          <w:rFonts w:ascii="Verdana" w:hAnsi="Verdana"/>
        </w:rPr>
        <w:t>wijst</w:t>
      </w:r>
      <w:r w:rsidR="002F281E" w:rsidRPr="002F281E">
        <w:rPr>
          <w:rFonts w:ascii="Verdana" w:hAnsi="Verdana"/>
        </w:rPr>
        <w:t xml:space="preserve">. </w:t>
      </w:r>
    </w:p>
    <w:p w14:paraId="3A7EC31D" w14:textId="2C0FFD2A" w:rsidR="00853E83" w:rsidRDefault="00853E83" w:rsidP="002F281E">
      <w:pPr>
        <w:pStyle w:val="Tekstopmerking"/>
        <w:rPr>
          <w:rFonts w:ascii="Verdana" w:hAnsi="Verdana"/>
        </w:rPr>
      </w:pPr>
    </w:p>
    <w:p w14:paraId="55B1199D" w14:textId="556E451F" w:rsidR="00D35883" w:rsidRPr="00D35883" w:rsidRDefault="00666485" w:rsidP="00D35883">
      <w:pPr>
        <w:spacing w:after="0" w:line="240" w:lineRule="auto"/>
        <w:rPr>
          <w:rFonts w:ascii="Verdana" w:eastAsia="Times New Roman" w:hAnsi="Verdana" w:cs="Times New Roman"/>
          <w:sz w:val="20"/>
          <w:szCs w:val="20"/>
          <w:lang w:eastAsia="nl-NL"/>
        </w:rPr>
      </w:pPr>
      <w:r w:rsidRPr="00D35883">
        <w:rPr>
          <w:rFonts w:ascii="Verdana" w:eastAsia="Times New Roman" w:hAnsi="Verdana" w:cs="Times New Roman"/>
          <w:sz w:val="20"/>
          <w:szCs w:val="20"/>
          <w:lang w:eastAsia="nl-NL"/>
        </w:rPr>
        <w:t>Hieronder vindt u uitspraken</w:t>
      </w:r>
      <w:r w:rsidR="00D35883" w:rsidRPr="00D35883">
        <w:rPr>
          <w:rFonts w:ascii="Verdana" w:eastAsia="Times New Roman" w:hAnsi="Verdana" w:cs="Times New Roman"/>
          <w:sz w:val="20"/>
          <w:szCs w:val="20"/>
          <w:lang w:eastAsia="nl-NL"/>
        </w:rPr>
        <w:t xml:space="preserve"> op volgorde van datum uitspraak</w:t>
      </w:r>
      <w:r w:rsidR="00826F19">
        <w:rPr>
          <w:rFonts w:ascii="Verdana" w:eastAsia="Times New Roman" w:hAnsi="Verdana" w:cs="Times New Roman"/>
          <w:sz w:val="20"/>
          <w:szCs w:val="20"/>
          <w:lang w:eastAsia="nl-NL"/>
        </w:rPr>
        <w:t>:</w:t>
      </w:r>
    </w:p>
    <w:p w14:paraId="0D129972" w14:textId="2B4F5C7A" w:rsidR="00D35883" w:rsidRDefault="00D35883" w:rsidP="00D35883">
      <w:pPr>
        <w:pStyle w:val="Lijstalinea"/>
        <w:spacing w:after="0" w:line="240" w:lineRule="auto"/>
        <w:rPr>
          <w:rFonts w:ascii="Verdana" w:eastAsia="Times New Roman" w:hAnsi="Verdana" w:cs="Times New Roman"/>
          <w:sz w:val="20"/>
          <w:szCs w:val="20"/>
          <w:lang w:eastAsia="nl-NL"/>
        </w:rPr>
      </w:pPr>
    </w:p>
    <w:p w14:paraId="35769F9C" w14:textId="77777777" w:rsidR="00D35883" w:rsidRPr="00D35883" w:rsidRDefault="00682231" w:rsidP="00D35883">
      <w:pPr>
        <w:pStyle w:val="Lijstalinea"/>
        <w:numPr>
          <w:ilvl w:val="0"/>
          <w:numId w:val="5"/>
        </w:numPr>
        <w:spacing w:after="0" w:line="240" w:lineRule="auto"/>
        <w:rPr>
          <w:rFonts w:ascii="Verdana" w:eastAsia="Times New Roman" w:hAnsi="Verdana" w:cs="Times New Roman"/>
          <w:sz w:val="20"/>
          <w:szCs w:val="20"/>
          <w:lang w:eastAsia="nl-NL"/>
        </w:rPr>
      </w:pPr>
      <w:hyperlink r:id="rId7" w:history="1">
        <w:r w:rsidR="00D35883" w:rsidRPr="00D35883">
          <w:rPr>
            <w:rStyle w:val="Hyperlink"/>
            <w:rFonts w:ascii="Verdana" w:eastAsia="Times New Roman" w:hAnsi="Verdana" w:cs="Times New Roman"/>
            <w:sz w:val="20"/>
            <w:szCs w:val="20"/>
            <w:lang w:eastAsia="nl-NL"/>
          </w:rPr>
          <w:t>Gerechtshof Den Haag</w:t>
        </w:r>
      </w:hyperlink>
    </w:p>
    <w:p w14:paraId="22D602C2" w14:textId="589D128D" w:rsidR="00D35883" w:rsidRDefault="00D35883" w:rsidP="00D35883">
      <w:pPr>
        <w:pStyle w:val="Lijstalinea"/>
        <w:spacing w:after="0" w:line="240" w:lineRule="auto"/>
        <w:rPr>
          <w:rFonts w:ascii="Verdana" w:eastAsia="Times New Roman" w:hAnsi="Verdana" w:cs="Times New Roman"/>
          <w:sz w:val="20"/>
          <w:szCs w:val="20"/>
          <w:lang w:eastAsia="nl-NL"/>
        </w:rPr>
      </w:pPr>
      <w:r w:rsidRPr="007E5BAD">
        <w:rPr>
          <w:rFonts w:ascii="Verdana" w:eastAsia="Times New Roman" w:hAnsi="Verdana" w:cs="Times New Roman"/>
          <w:sz w:val="20"/>
          <w:szCs w:val="20"/>
          <w:lang w:eastAsia="nl-NL"/>
        </w:rPr>
        <w:t>Datum uitspraak: 25-11-2014</w:t>
      </w:r>
    </w:p>
    <w:p w14:paraId="4FFAF100" w14:textId="77777777" w:rsidR="00D35883" w:rsidRPr="00D35883" w:rsidRDefault="00682231" w:rsidP="00D35883">
      <w:pPr>
        <w:pStyle w:val="Lijstalinea"/>
        <w:numPr>
          <w:ilvl w:val="0"/>
          <w:numId w:val="5"/>
        </w:numPr>
        <w:spacing w:after="0" w:line="240" w:lineRule="auto"/>
        <w:rPr>
          <w:rFonts w:ascii="Verdana" w:eastAsia="Times New Roman" w:hAnsi="Verdana" w:cs="Times New Roman"/>
          <w:sz w:val="20"/>
          <w:szCs w:val="20"/>
          <w:lang w:eastAsia="nl-NL"/>
        </w:rPr>
      </w:pPr>
      <w:hyperlink r:id="rId8" w:history="1">
        <w:r w:rsidR="00D35883" w:rsidRPr="00D35883">
          <w:rPr>
            <w:rStyle w:val="Hyperlink"/>
            <w:rFonts w:ascii="Verdana" w:eastAsia="Times New Roman" w:hAnsi="Verdana" w:cs="Times New Roman"/>
            <w:sz w:val="20"/>
            <w:szCs w:val="20"/>
            <w:lang w:eastAsia="nl-NL"/>
          </w:rPr>
          <w:t>Rechtbank Den Haag</w:t>
        </w:r>
      </w:hyperlink>
    </w:p>
    <w:p w14:paraId="68FC7AEB" w14:textId="77777777" w:rsidR="00D35883" w:rsidRPr="007E5BAD" w:rsidRDefault="00D35883" w:rsidP="00D35883">
      <w:pPr>
        <w:pStyle w:val="Lijstalinea"/>
        <w:spacing w:after="0" w:line="240" w:lineRule="auto"/>
        <w:rPr>
          <w:rFonts w:ascii="Verdana" w:eastAsia="Times New Roman" w:hAnsi="Verdana" w:cs="Times New Roman"/>
          <w:sz w:val="20"/>
          <w:szCs w:val="20"/>
          <w:lang w:eastAsia="nl-NL"/>
        </w:rPr>
      </w:pPr>
      <w:r w:rsidRPr="007E5BAD">
        <w:rPr>
          <w:rFonts w:ascii="Verdana" w:eastAsia="Times New Roman" w:hAnsi="Verdana" w:cs="Times New Roman"/>
          <w:sz w:val="20"/>
          <w:szCs w:val="20"/>
          <w:lang w:eastAsia="nl-NL"/>
        </w:rPr>
        <w:t>Datum uitspraak: 28-04-2015</w:t>
      </w:r>
    </w:p>
    <w:p w14:paraId="16D6ED23" w14:textId="77777777" w:rsidR="00D35883" w:rsidRPr="007E5BAD" w:rsidRDefault="00682231" w:rsidP="00D35883">
      <w:pPr>
        <w:pStyle w:val="Lijstalinea"/>
        <w:numPr>
          <w:ilvl w:val="0"/>
          <w:numId w:val="5"/>
        </w:numPr>
        <w:spacing w:after="0" w:line="240" w:lineRule="auto"/>
        <w:rPr>
          <w:rFonts w:ascii="Verdana" w:eastAsia="Times New Roman" w:hAnsi="Verdana" w:cs="Times New Roman"/>
          <w:sz w:val="20"/>
          <w:szCs w:val="20"/>
          <w:lang w:eastAsia="nl-NL"/>
        </w:rPr>
      </w:pPr>
      <w:hyperlink r:id="rId9" w:history="1">
        <w:r w:rsidR="00D35883" w:rsidRPr="003971B2">
          <w:rPr>
            <w:rStyle w:val="Hyperlink"/>
            <w:rFonts w:ascii="Verdana" w:eastAsia="Times New Roman" w:hAnsi="Verdana" w:cs="Times New Roman"/>
            <w:sz w:val="20"/>
            <w:szCs w:val="20"/>
            <w:lang w:eastAsia="nl-NL"/>
          </w:rPr>
          <w:t>Rechtbank Den Haag</w:t>
        </w:r>
      </w:hyperlink>
    </w:p>
    <w:p w14:paraId="4E540EC9" w14:textId="77777777" w:rsidR="00D35883" w:rsidRPr="007E5BAD" w:rsidRDefault="00D35883" w:rsidP="00D35883">
      <w:pPr>
        <w:pStyle w:val="Lijstalinea"/>
        <w:spacing w:after="0" w:line="240" w:lineRule="auto"/>
        <w:rPr>
          <w:rFonts w:ascii="Verdana" w:eastAsia="Times New Roman" w:hAnsi="Verdana" w:cs="Times New Roman"/>
          <w:sz w:val="20"/>
          <w:szCs w:val="20"/>
          <w:lang w:eastAsia="nl-NL"/>
        </w:rPr>
      </w:pPr>
      <w:r w:rsidRPr="007E5BAD">
        <w:rPr>
          <w:rFonts w:ascii="Verdana" w:eastAsia="Times New Roman" w:hAnsi="Verdana" w:cs="Times New Roman"/>
          <w:sz w:val="20"/>
          <w:szCs w:val="20"/>
          <w:lang w:eastAsia="nl-NL"/>
        </w:rPr>
        <w:t>Datum uitspraak: 02-06-2015</w:t>
      </w:r>
    </w:p>
    <w:p w14:paraId="38DCD8E1" w14:textId="77777777" w:rsidR="00D35883" w:rsidRPr="007E5BAD" w:rsidRDefault="00682231" w:rsidP="00D35883">
      <w:pPr>
        <w:pStyle w:val="Lijstalinea"/>
        <w:numPr>
          <w:ilvl w:val="0"/>
          <w:numId w:val="5"/>
        </w:numPr>
        <w:spacing w:after="0" w:line="240" w:lineRule="auto"/>
        <w:rPr>
          <w:rFonts w:ascii="Verdana" w:eastAsia="Times New Roman" w:hAnsi="Verdana" w:cs="Times New Roman"/>
          <w:sz w:val="20"/>
          <w:szCs w:val="20"/>
          <w:lang w:eastAsia="nl-NL"/>
        </w:rPr>
      </w:pPr>
      <w:hyperlink r:id="rId10" w:history="1">
        <w:r w:rsidR="00D35883" w:rsidRPr="003971B2">
          <w:rPr>
            <w:rStyle w:val="Hyperlink"/>
            <w:rFonts w:ascii="Verdana" w:eastAsia="Times New Roman" w:hAnsi="Verdana" w:cs="Times New Roman"/>
            <w:sz w:val="20"/>
            <w:szCs w:val="20"/>
            <w:lang w:eastAsia="nl-NL"/>
          </w:rPr>
          <w:t>Rechtbank Midden-Nederland</w:t>
        </w:r>
      </w:hyperlink>
    </w:p>
    <w:p w14:paraId="0B78F773" w14:textId="77777777" w:rsidR="00D35883" w:rsidRPr="007E5BAD" w:rsidRDefault="00D35883" w:rsidP="00D35883">
      <w:pPr>
        <w:pStyle w:val="Lijstalinea"/>
        <w:spacing w:after="0" w:line="240" w:lineRule="auto"/>
        <w:rPr>
          <w:rFonts w:ascii="Verdana" w:eastAsia="Times New Roman" w:hAnsi="Verdana" w:cs="Times New Roman"/>
          <w:sz w:val="20"/>
          <w:szCs w:val="20"/>
          <w:lang w:eastAsia="nl-NL"/>
        </w:rPr>
      </w:pPr>
      <w:r w:rsidRPr="007E5BAD">
        <w:rPr>
          <w:rFonts w:ascii="Verdana" w:eastAsia="Times New Roman" w:hAnsi="Verdana" w:cs="Times New Roman"/>
          <w:sz w:val="20"/>
          <w:szCs w:val="20"/>
          <w:lang w:eastAsia="nl-NL"/>
        </w:rPr>
        <w:t>Datum uitspraak: 05-11-2015</w:t>
      </w:r>
    </w:p>
    <w:p w14:paraId="05650368" w14:textId="77777777" w:rsidR="00D35883" w:rsidRPr="007E5BAD" w:rsidRDefault="00682231" w:rsidP="00D35883">
      <w:pPr>
        <w:pStyle w:val="Lijstalinea"/>
        <w:numPr>
          <w:ilvl w:val="0"/>
          <w:numId w:val="5"/>
        </w:numPr>
        <w:spacing w:after="0" w:line="240" w:lineRule="auto"/>
        <w:rPr>
          <w:rFonts w:ascii="Verdana" w:eastAsia="Times New Roman" w:hAnsi="Verdana" w:cs="Times New Roman"/>
          <w:sz w:val="20"/>
          <w:szCs w:val="20"/>
          <w:lang w:eastAsia="nl-NL"/>
        </w:rPr>
      </w:pPr>
      <w:hyperlink r:id="rId11" w:history="1">
        <w:r w:rsidR="00D35883" w:rsidRPr="00D32741">
          <w:rPr>
            <w:rStyle w:val="Hyperlink"/>
            <w:rFonts w:ascii="Verdana" w:eastAsia="Times New Roman" w:hAnsi="Verdana" w:cs="Times New Roman"/>
            <w:sz w:val="20"/>
            <w:szCs w:val="20"/>
            <w:lang w:eastAsia="nl-NL"/>
          </w:rPr>
          <w:t>Rechtbank Zeeland-West-Brabant</w:t>
        </w:r>
      </w:hyperlink>
    </w:p>
    <w:p w14:paraId="0F40661B" w14:textId="77777777" w:rsidR="00D35883" w:rsidRPr="007E5BAD" w:rsidRDefault="00D35883" w:rsidP="00D35883">
      <w:pPr>
        <w:pStyle w:val="Lijstalinea"/>
        <w:spacing w:after="0" w:line="240" w:lineRule="auto"/>
        <w:rPr>
          <w:rFonts w:ascii="Verdana" w:eastAsia="Times New Roman" w:hAnsi="Verdana" w:cs="Times New Roman"/>
          <w:sz w:val="20"/>
          <w:szCs w:val="20"/>
          <w:lang w:eastAsia="nl-NL"/>
        </w:rPr>
      </w:pPr>
      <w:r w:rsidRPr="007E5BAD">
        <w:rPr>
          <w:rFonts w:ascii="Verdana" w:eastAsia="Times New Roman" w:hAnsi="Verdana" w:cs="Times New Roman"/>
          <w:sz w:val="20"/>
          <w:szCs w:val="20"/>
          <w:lang w:eastAsia="nl-NL"/>
        </w:rPr>
        <w:t>Datum uitspraak :06-07-2016</w:t>
      </w:r>
    </w:p>
    <w:p w14:paraId="00A9ECD0" w14:textId="77777777" w:rsidR="00D35883" w:rsidRPr="007E5BAD" w:rsidRDefault="00682231" w:rsidP="00D35883">
      <w:pPr>
        <w:pStyle w:val="Lijstalinea"/>
        <w:numPr>
          <w:ilvl w:val="0"/>
          <w:numId w:val="5"/>
        </w:numPr>
        <w:spacing w:after="0" w:line="240" w:lineRule="auto"/>
        <w:rPr>
          <w:rFonts w:ascii="Verdana" w:eastAsia="Times New Roman" w:hAnsi="Verdana" w:cs="Times New Roman"/>
          <w:sz w:val="20"/>
          <w:szCs w:val="20"/>
          <w:lang w:eastAsia="nl-NL"/>
        </w:rPr>
      </w:pPr>
      <w:hyperlink r:id="rId12" w:history="1">
        <w:r w:rsidR="00D35883" w:rsidRPr="003971B2">
          <w:rPr>
            <w:rStyle w:val="Hyperlink"/>
            <w:rFonts w:ascii="Verdana" w:eastAsia="Times New Roman" w:hAnsi="Verdana" w:cs="Times New Roman"/>
            <w:sz w:val="20"/>
            <w:szCs w:val="20"/>
            <w:lang w:eastAsia="nl-NL"/>
          </w:rPr>
          <w:t>Rechtbank Oost-Brabant</w:t>
        </w:r>
      </w:hyperlink>
    </w:p>
    <w:p w14:paraId="11EE9ABE" w14:textId="77777777" w:rsidR="00D35883" w:rsidRPr="00853E83" w:rsidRDefault="00D35883" w:rsidP="00D35883">
      <w:pPr>
        <w:pStyle w:val="Lijstalinea"/>
        <w:spacing w:after="0" w:line="240" w:lineRule="auto"/>
        <w:rPr>
          <w:rFonts w:ascii="Verdana" w:hAnsi="Verdana"/>
          <w:sz w:val="20"/>
          <w:szCs w:val="20"/>
        </w:rPr>
      </w:pPr>
      <w:r w:rsidRPr="007E5BAD">
        <w:rPr>
          <w:rFonts w:ascii="Verdana" w:eastAsia="Times New Roman" w:hAnsi="Verdana" w:cs="Times New Roman"/>
          <w:sz w:val="20"/>
          <w:szCs w:val="20"/>
          <w:lang w:eastAsia="nl-NL"/>
        </w:rPr>
        <w:t>Datum uitspraak: 14-07-2016</w:t>
      </w:r>
    </w:p>
    <w:p w14:paraId="349070D4" w14:textId="77777777" w:rsidR="00D35883" w:rsidRPr="007E5BAD" w:rsidRDefault="00682231" w:rsidP="00D35883">
      <w:pPr>
        <w:pStyle w:val="Lijstalinea"/>
        <w:numPr>
          <w:ilvl w:val="0"/>
          <w:numId w:val="5"/>
        </w:numPr>
        <w:spacing w:after="0" w:line="240" w:lineRule="auto"/>
        <w:rPr>
          <w:rFonts w:ascii="Verdana" w:eastAsia="Times New Roman" w:hAnsi="Verdana" w:cs="Times New Roman"/>
          <w:sz w:val="20"/>
          <w:szCs w:val="20"/>
          <w:lang w:eastAsia="nl-NL"/>
        </w:rPr>
      </w:pPr>
      <w:hyperlink r:id="rId13" w:history="1">
        <w:r w:rsidR="00D35883" w:rsidRPr="003971B2">
          <w:rPr>
            <w:rStyle w:val="Hyperlink"/>
            <w:rFonts w:ascii="Verdana" w:eastAsia="Times New Roman" w:hAnsi="Verdana" w:cs="Times New Roman"/>
            <w:sz w:val="20"/>
            <w:szCs w:val="20"/>
            <w:lang w:eastAsia="nl-NL"/>
          </w:rPr>
          <w:t>Rechtbank Noord-Holland</w:t>
        </w:r>
      </w:hyperlink>
    </w:p>
    <w:p w14:paraId="244539CD" w14:textId="77777777" w:rsidR="00D35883" w:rsidRPr="007E5BAD" w:rsidRDefault="00D35883" w:rsidP="00D35883">
      <w:pPr>
        <w:pStyle w:val="Lijstalinea"/>
        <w:spacing w:after="0" w:line="240" w:lineRule="auto"/>
        <w:rPr>
          <w:rFonts w:ascii="Verdana" w:eastAsia="Times New Roman" w:hAnsi="Verdana" w:cs="Times New Roman"/>
          <w:sz w:val="20"/>
          <w:szCs w:val="20"/>
          <w:lang w:eastAsia="nl-NL"/>
        </w:rPr>
      </w:pPr>
      <w:r w:rsidRPr="007E5BAD">
        <w:rPr>
          <w:rFonts w:ascii="Verdana" w:eastAsia="Times New Roman" w:hAnsi="Verdana" w:cs="Times New Roman"/>
          <w:sz w:val="20"/>
          <w:szCs w:val="20"/>
          <w:lang w:eastAsia="nl-NL"/>
        </w:rPr>
        <w:t>Datum uitspraak: 07-09-2016</w:t>
      </w:r>
    </w:p>
    <w:p w14:paraId="1309590B" w14:textId="77777777" w:rsidR="00D35883" w:rsidRPr="007E5BAD" w:rsidRDefault="00682231" w:rsidP="00D35883">
      <w:pPr>
        <w:pStyle w:val="Lijstalinea"/>
        <w:numPr>
          <w:ilvl w:val="0"/>
          <w:numId w:val="5"/>
        </w:numPr>
        <w:rPr>
          <w:rFonts w:ascii="Verdana" w:hAnsi="Verdana"/>
          <w:sz w:val="20"/>
          <w:szCs w:val="20"/>
        </w:rPr>
      </w:pPr>
      <w:hyperlink r:id="rId14" w:history="1">
        <w:r w:rsidR="00D35883" w:rsidRPr="00D32741">
          <w:rPr>
            <w:rStyle w:val="Hyperlink"/>
            <w:rFonts w:ascii="Verdana" w:hAnsi="Verdana"/>
            <w:sz w:val="20"/>
            <w:szCs w:val="20"/>
          </w:rPr>
          <w:t>Gerechtshof Den Haag</w:t>
        </w:r>
      </w:hyperlink>
    </w:p>
    <w:p w14:paraId="68A9C03A" w14:textId="77777777" w:rsidR="00D35883" w:rsidRPr="007E5BAD" w:rsidRDefault="00D35883" w:rsidP="00D35883">
      <w:pPr>
        <w:pStyle w:val="Lijstalinea"/>
        <w:rPr>
          <w:rFonts w:ascii="Verdana" w:hAnsi="Verdana"/>
          <w:sz w:val="20"/>
          <w:szCs w:val="20"/>
        </w:rPr>
      </w:pPr>
      <w:r w:rsidRPr="007E5BAD">
        <w:rPr>
          <w:rFonts w:ascii="Verdana" w:hAnsi="Verdana"/>
          <w:sz w:val="20"/>
          <w:szCs w:val="20"/>
        </w:rPr>
        <w:t>Datum uitspraak 13-09-2016</w:t>
      </w:r>
    </w:p>
    <w:p w14:paraId="347D47DA" w14:textId="77777777" w:rsidR="00D35883" w:rsidRPr="00226BD9" w:rsidRDefault="00682231" w:rsidP="00D35883">
      <w:pPr>
        <w:pStyle w:val="Lijstalinea"/>
        <w:numPr>
          <w:ilvl w:val="0"/>
          <w:numId w:val="5"/>
        </w:numPr>
        <w:spacing w:after="0" w:line="240" w:lineRule="auto"/>
        <w:rPr>
          <w:rFonts w:ascii="Verdana" w:eastAsia="Times New Roman" w:hAnsi="Verdana" w:cs="Times New Roman"/>
          <w:sz w:val="20"/>
          <w:szCs w:val="20"/>
          <w:lang w:eastAsia="nl-NL"/>
        </w:rPr>
      </w:pPr>
      <w:hyperlink r:id="rId15" w:history="1">
        <w:r w:rsidR="00D35883" w:rsidRPr="00226BD9">
          <w:rPr>
            <w:rStyle w:val="Hyperlink"/>
            <w:rFonts w:ascii="Verdana" w:eastAsia="Times New Roman" w:hAnsi="Verdana" w:cs="Times New Roman"/>
            <w:sz w:val="20"/>
            <w:szCs w:val="20"/>
            <w:lang w:eastAsia="nl-NL"/>
          </w:rPr>
          <w:t>Rechtbank Zeeland-West-Brabant</w:t>
        </w:r>
      </w:hyperlink>
    </w:p>
    <w:p w14:paraId="453A46AB" w14:textId="77777777" w:rsidR="00D35883" w:rsidRPr="00853E83" w:rsidRDefault="00D35883" w:rsidP="00D35883">
      <w:pPr>
        <w:pStyle w:val="Lijstalinea"/>
        <w:spacing w:after="0" w:line="240" w:lineRule="auto"/>
        <w:rPr>
          <w:rStyle w:val="Hyperlink"/>
          <w:rFonts w:ascii="Verdana" w:hAnsi="Verdana"/>
          <w:color w:val="auto"/>
          <w:sz w:val="20"/>
          <w:szCs w:val="20"/>
          <w:u w:val="none"/>
        </w:rPr>
      </w:pPr>
      <w:r w:rsidRPr="007E5BAD">
        <w:rPr>
          <w:rFonts w:ascii="Verdana" w:eastAsia="Times New Roman" w:hAnsi="Verdana" w:cs="Times New Roman"/>
          <w:sz w:val="20"/>
          <w:szCs w:val="20"/>
          <w:lang w:eastAsia="nl-NL"/>
        </w:rPr>
        <w:t>Datum uitspraak: 19-10-2016</w:t>
      </w:r>
    </w:p>
    <w:p w14:paraId="1C4DFE09" w14:textId="77777777" w:rsidR="00D35883" w:rsidRPr="007E5BAD" w:rsidRDefault="00682231" w:rsidP="00D35883">
      <w:pPr>
        <w:pStyle w:val="Lijstalinea"/>
        <w:numPr>
          <w:ilvl w:val="0"/>
          <w:numId w:val="5"/>
        </w:numPr>
        <w:spacing w:after="0" w:line="240" w:lineRule="auto"/>
        <w:rPr>
          <w:rFonts w:ascii="Verdana" w:eastAsia="Times New Roman" w:hAnsi="Verdana" w:cs="Times New Roman"/>
          <w:sz w:val="20"/>
          <w:szCs w:val="20"/>
          <w:lang w:eastAsia="nl-NL"/>
        </w:rPr>
      </w:pPr>
      <w:hyperlink r:id="rId16" w:history="1">
        <w:r w:rsidR="00D35883" w:rsidRPr="00226BD9">
          <w:rPr>
            <w:rStyle w:val="Hyperlink"/>
            <w:rFonts w:ascii="Verdana" w:eastAsia="Times New Roman" w:hAnsi="Verdana" w:cs="Times New Roman"/>
            <w:sz w:val="20"/>
            <w:szCs w:val="20"/>
            <w:lang w:eastAsia="nl-NL"/>
          </w:rPr>
          <w:t>Rechtbank Overijssel</w:t>
        </w:r>
      </w:hyperlink>
    </w:p>
    <w:p w14:paraId="771755D0" w14:textId="77777777" w:rsidR="00D35883" w:rsidRPr="00853E83" w:rsidRDefault="00D35883" w:rsidP="00D35883">
      <w:pPr>
        <w:pStyle w:val="Lijstalinea"/>
        <w:spacing w:after="0" w:line="240" w:lineRule="auto"/>
        <w:rPr>
          <w:rFonts w:ascii="Verdana" w:hAnsi="Verdana"/>
          <w:sz w:val="20"/>
          <w:szCs w:val="20"/>
        </w:rPr>
      </w:pPr>
      <w:r w:rsidRPr="007E5BAD">
        <w:rPr>
          <w:rFonts w:ascii="Verdana" w:eastAsia="Times New Roman" w:hAnsi="Verdana" w:cs="Times New Roman"/>
          <w:sz w:val="20"/>
          <w:szCs w:val="20"/>
          <w:lang w:eastAsia="nl-NL"/>
        </w:rPr>
        <w:t>Datum uitspraak: 08-11-2016</w:t>
      </w:r>
    </w:p>
    <w:p w14:paraId="1736DB33" w14:textId="77777777" w:rsidR="00D35883" w:rsidRPr="00226BD9" w:rsidRDefault="00682231" w:rsidP="00D35883">
      <w:pPr>
        <w:pStyle w:val="Lijstalinea"/>
        <w:numPr>
          <w:ilvl w:val="0"/>
          <w:numId w:val="5"/>
        </w:numPr>
        <w:spacing w:after="0" w:line="240" w:lineRule="auto"/>
        <w:rPr>
          <w:rFonts w:ascii="Verdana" w:eastAsia="Times New Roman" w:hAnsi="Verdana" w:cs="Times New Roman"/>
          <w:sz w:val="20"/>
          <w:szCs w:val="20"/>
          <w:lang w:eastAsia="nl-NL"/>
        </w:rPr>
      </w:pPr>
      <w:hyperlink r:id="rId17" w:history="1">
        <w:r w:rsidR="00D35883" w:rsidRPr="00226BD9">
          <w:rPr>
            <w:rStyle w:val="Hyperlink"/>
            <w:rFonts w:ascii="Verdana" w:eastAsia="Times New Roman" w:hAnsi="Verdana" w:cs="Times New Roman"/>
            <w:sz w:val="20"/>
            <w:szCs w:val="20"/>
            <w:lang w:eastAsia="nl-NL"/>
          </w:rPr>
          <w:t>Rechtbank Rotterdam</w:t>
        </w:r>
      </w:hyperlink>
    </w:p>
    <w:p w14:paraId="2E83EA9A" w14:textId="77777777" w:rsidR="00D35883" w:rsidRPr="00853E83" w:rsidRDefault="00D35883" w:rsidP="00D35883">
      <w:pPr>
        <w:pStyle w:val="Lijstalinea"/>
        <w:spacing w:after="0" w:line="240" w:lineRule="auto"/>
        <w:rPr>
          <w:rFonts w:ascii="Verdana" w:eastAsia="Times New Roman" w:hAnsi="Verdana" w:cs="Times New Roman"/>
          <w:bCs/>
          <w:sz w:val="20"/>
          <w:szCs w:val="20"/>
          <w:lang w:eastAsia="nl-NL"/>
        </w:rPr>
      </w:pPr>
      <w:r w:rsidRPr="007E5BAD">
        <w:rPr>
          <w:rFonts w:ascii="Verdana" w:eastAsia="Times New Roman" w:hAnsi="Verdana" w:cs="Times New Roman"/>
          <w:sz w:val="20"/>
          <w:szCs w:val="20"/>
          <w:lang w:eastAsia="nl-NL"/>
        </w:rPr>
        <w:t>Datum uitspraak: 14-11-2016</w:t>
      </w:r>
    </w:p>
    <w:p w14:paraId="21F81871" w14:textId="77777777" w:rsidR="00D35883" w:rsidRPr="007E5BAD" w:rsidRDefault="00682231" w:rsidP="00D35883">
      <w:pPr>
        <w:pStyle w:val="Lijstalinea"/>
        <w:numPr>
          <w:ilvl w:val="0"/>
          <w:numId w:val="5"/>
        </w:numPr>
        <w:rPr>
          <w:rFonts w:ascii="Verdana" w:hAnsi="Verdana"/>
          <w:sz w:val="20"/>
          <w:szCs w:val="20"/>
        </w:rPr>
      </w:pPr>
      <w:hyperlink r:id="rId18" w:history="1">
        <w:r w:rsidR="00D35883" w:rsidRPr="00D32741">
          <w:rPr>
            <w:rStyle w:val="Hyperlink"/>
            <w:rFonts w:ascii="Verdana" w:hAnsi="Verdana"/>
            <w:sz w:val="20"/>
            <w:szCs w:val="20"/>
          </w:rPr>
          <w:t>Rechtbank Gelderland</w:t>
        </w:r>
      </w:hyperlink>
    </w:p>
    <w:p w14:paraId="45CE6EC2" w14:textId="77777777" w:rsidR="00D35883" w:rsidRPr="007E5BAD" w:rsidRDefault="00D35883" w:rsidP="00D35883">
      <w:pPr>
        <w:pStyle w:val="Lijstalinea"/>
        <w:rPr>
          <w:rFonts w:ascii="Verdana" w:hAnsi="Verdana"/>
          <w:sz w:val="20"/>
          <w:szCs w:val="20"/>
        </w:rPr>
      </w:pPr>
      <w:r w:rsidRPr="007E5BAD">
        <w:rPr>
          <w:rFonts w:ascii="Verdana" w:hAnsi="Verdana"/>
          <w:sz w:val="20"/>
          <w:szCs w:val="20"/>
        </w:rPr>
        <w:t>Datum uitspraak: 23-11-2016</w:t>
      </w:r>
    </w:p>
    <w:p w14:paraId="1CDD9673" w14:textId="77777777" w:rsidR="00D35883" w:rsidRDefault="00D35883" w:rsidP="00D35883">
      <w:pPr>
        <w:pStyle w:val="Lijstalinea"/>
        <w:spacing w:after="0" w:line="240" w:lineRule="auto"/>
        <w:rPr>
          <w:rFonts w:ascii="Verdana" w:eastAsia="Times New Roman" w:hAnsi="Verdana" w:cs="Times New Roman"/>
          <w:sz w:val="20"/>
          <w:szCs w:val="20"/>
          <w:lang w:eastAsia="nl-NL"/>
        </w:rPr>
      </w:pPr>
    </w:p>
    <w:p w14:paraId="279B7000" w14:textId="77777777" w:rsidR="00D35883" w:rsidRPr="00D35883" w:rsidRDefault="00D35883" w:rsidP="00D35883">
      <w:pPr>
        <w:spacing w:after="0" w:line="240" w:lineRule="auto"/>
        <w:rPr>
          <w:rFonts w:ascii="Verdana" w:eastAsia="Times New Roman" w:hAnsi="Verdana" w:cs="Times New Roman"/>
          <w:sz w:val="20"/>
          <w:szCs w:val="20"/>
          <w:lang w:eastAsia="nl-NL"/>
        </w:rPr>
      </w:pPr>
    </w:p>
    <w:p w14:paraId="11D9C638" w14:textId="1CCF5282" w:rsidR="00D35883" w:rsidRPr="00D35883" w:rsidRDefault="00D35883" w:rsidP="00D35883">
      <w:pPr>
        <w:pStyle w:val="Lijstalinea"/>
        <w:spacing w:after="0" w:line="240" w:lineRule="auto"/>
        <w:ind w:left="1440"/>
        <w:rPr>
          <w:rFonts w:ascii="Verdana" w:eastAsia="Times New Roman" w:hAnsi="Verdana" w:cs="Times New Roman"/>
          <w:sz w:val="20"/>
          <w:szCs w:val="20"/>
          <w:lang w:eastAsia="nl-NL"/>
        </w:rPr>
      </w:pPr>
    </w:p>
    <w:p w14:paraId="18DA35EB" w14:textId="77777777" w:rsidR="00D35883" w:rsidRDefault="00D35883" w:rsidP="00D35883">
      <w:pPr>
        <w:pStyle w:val="Lijstalinea"/>
        <w:spacing w:after="0" w:line="240" w:lineRule="auto"/>
        <w:rPr>
          <w:rFonts w:ascii="Verdana" w:eastAsia="Times New Roman" w:hAnsi="Verdana" w:cs="Times New Roman"/>
          <w:sz w:val="20"/>
          <w:szCs w:val="20"/>
          <w:lang w:eastAsia="nl-NL"/>
        </w:rPr>
      </w:pPr>
    </w:p>
    <w:p w14:paraId="430439AA" w14:textId="77777777" w:rsidR="00FC0CD9" w:rsidRPr="002F281E" w:rsidRDefault="00FC0CD9">
      <w:pPr>
        <w:rPr>
          <w:rFonts w:ascii="Verdana" w:hAnsi="Verdana"/>
          <w:sz w:val="20"/>
          <w:szCs w:val="20"/>
        </w:rPr>
      </w:pPr>
    </w:p>
    <w:sectPr w:rsidR="00FC0CD9" w:rsidRPr="002F2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89B"/>
    <w:multiLevelType w:val="hybridMultilevel"/>
    <w:tmpl w:val="0BD0A172"/>
    <w:lvl w:ilvl="0" w:tplc="B276DE12">
      <w:start w:val="1"/>
      <w:numFmt w:val="decimal"/>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340700"/>
    <w:multiLevelType w:val="hybridMultilevel"/>
    <w:tmpl w:val="608067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8DD67C5"/>
    <w:multiLevelType w:val="hybridMultilevel"/>
    <w:tmpl w:val="36F6F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E604D5"/>
    <w:multiLevelType w:val="hybridMultilevel"/>
    <w:tmpl w:val="2EEEBCD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AAB68DF"/>
    <w:multiLevelType w:val="hybridMultilevel"/>
    <w:tmpl w:val="C616C5A8"/>
    <w:lvl w:ilvl="0" w:tplc="E3A02FB6">
      <w:start w:val="1"/>
      <w:numFmt w:val="decimal"/>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D9"/>
    <w:rsid w:val="001028E2"/>
    <w:rsid w:val="00226BD9"/>
    <w:rsid w:val="0024353A"/>
    <w:rsid w:val="002A1593"/>
    <w:rsid w:val="002F281E"/>
    <w:rsid w:val="003971B2"/>
    <w:rsid w:val="0049406A"/>
    <w:rsid w:val="004A5CF2"/>
    <w:rsid w:val="00666485"/>
    <w:rsid w:val="00682231"/>
    <w:rsid w:val="007E5BAD"/>
    <w:rsid w:val="007F0EE4"/>
    <w:rsid w:val="00826F19"/>
    <w:rsid w:val="00853E83"/>
    <w:rsid w:val="00891BB8"/>
    <w:rsid w:val="00892725"/>
    <w:rsid w:val="00963986"/>
    <w:rsid w:val="00987603"/>
    <w:rsid w:val="009E12AD"/>
    <w:rsid w:val="009E5CB6"/>
    <w:rsid w:val="00C05F80"/>
    <w:rsid w:val="00CF738D"/>
    <w:rsid w:val="00D32741"/>
    <w:rsid w:val="00D35883"/>
    <w:rsid w:val="00DF4944"/>
    <w:rsid w:val="00E26142"/>
    <w:rsid w:val="00F07D86"/>
    <w:rsid w:val="00F91EB7"/>
    <w:rsid w:val="00FC0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4F87"/>
  <w15:chartTrackingRefBased/>
  <w15:docId w15:val="{5E6498B9-4C30-409C-8896-B26CD0F9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2">
    <w:name w:val="s2"/>
    <w:basedOn w:val="Standaardalinea-lettertype"/>
    <w:rsid w:val="0024353A"/>
    <w:rPr>
      <w:color w:val="44546A"/>
    </w:rPr>
  </w:style>
  <w:style w:type="character" w:customStyle="1" w:styleId="s1">
    <w:name w:val="s1"/>
    <w:basedOn w:val="Standaardalinea-lettertype"/>
    <w:rsid w:val="0024353A"/>
  </w:style>
  <w:style w:type="character" w:styleId="Verwijzingopmerking">
    <w:name w:val="annotation reference"/>
    <w:basedOn w:val="Standaardalinea-lettertype"/>
    <w:uiPriority w:val="99"/>
    <w:semiHidden/>
    <w:unhideWhenUsed/>
    <w:rsid w:val="004A5CF2"/>
    <w:rPr>
      <w:sz w:val="16"/>
      <w:szCs w:val="16"/>
    </w:rPr>
  </w:style>
  <w:style w:type="paragraph" w:styleId="Tekstopmerking">
    <w:name w:val="annotation text"/>
    <w:basedOn w:val="Standaard"/>
    <w:link w:val="TekstopmerkingChar"/>
    <w:uiPriority w:val="99"/>
    <w:unhideWhenUsed/>
    <w:rsid w:val="004A5CF2"/>
    <w:pPr>
      <w:spacing w:line="240" w:lineRule="auto"/>
    </w:pPr>
    <w:rPr>
      <w:sz w:val="20"/>
      <w:szCs w:val="20"/>
    </w:rPr>
  </w:style>
  <w:style w:type="character" w:customStyle="1" w:styleId="TekstopmerkingChar">
    <w:name w:val="Tekst opmerking Char"/>
    <w:basedOn w:val="Standaardalinea-lettertype"/>
    <w:link w:val="Tekstopmerking"/>
    <w:uiPriority w:val="99"/>
    <w:rsid w:val="004A5CF2"/>
    <w:rPr>
      <w:sz w:val="20"/>
      <w:szCs w:val="20"/>
    </w:rPr>
  </w:style>
  <w:style w:type="paragraph" w:styleId="Onderwerpvanopmerking">
    <w:name w:val="annotation subject"/>
    <w:basedOn w:val="Tekstopmerking"/>
    <w:next w:val="Tekstopmerking"/>
    <w:link w:val="OnderwerpvanopmerkingChar"/>
    <w:uiPriority w:val="99"/>
    <w:semiHidden/>
    <w:unhideWhenUsed/>
    <w:rsid w:val="004A5CF2"/>
    <w:rPr>
      <w:b/>
      <w:bCs/>
    </w:rPr>
  </w:style>
  <w:style w:type="character" w:customStyle="1" w:styleId="OnderwerpvanopmerkingChar">
    <w:name w:val="Onderwerp van opmerking Char"/>
    <w:basedOn w:val="TekstopmerkingChar"/>
    <w:link w:val="Onderwerpvanopmerking"/>
    <w:uiPriority w:val="99"/>
    <w:semiHidden/>
    <w:rsid w:val="004A5CF2"/>
    <w:rPr>
      <w:b/>
      <w:bCs/>
      <w:sz w:val="20"/>
      <w:szCs w:val="20"/>
    </w:rPr>
  </w:style>
  <w:style w:type="paragraph" w:styleId="Ballontekst">
    <w:name w:val="Balloon Text"/>
    <w:basedOn w:val="Standaard"/>
    <w:link w:val="BallontekstChar"/>
    <w:uiPriority w:val="99"/>
    <w:semiHidden/>
    <w:unhideWhenUsed/>
    <w:rsid w:val="004A5C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5CF2"/>
    <w:rPr>
      <w:rFonts w:ascii="Segoe UI" w:hAnsi="Segoe UI" w:cs="Segoe UI"/>
      <w:sz w:val="18"/>
      <w:szCs w:val="18"/>
    </w:rPr>
  </w:style>
  <w:style w:type="character" w:styleId="Hyperlink">
    <w:name w:val="Hyperlink"/>
    <w:basedOn w:val="Standaardalinea-lettertype"/>
    <w:uiPriority w:val="99"/>
    <w:unhideWhenUsed/>
    <w:rsid w:val="00853E83"/>
    <w:rPr>
      <w:color w:val="0563C1" w:themeColor="hyperlink"/>
      <w:u w:val="single"/>
    </w:rPr>
  </w:style>
  <w:style w:type="paragraph" w:styleId="Lijstalinea">
    <w:name w:val="List Paragraph"/>
    <w:basedOn w:val="Standaard"/>
    <w:uiPriority w:val="34"/>
    <w:qFormat/>
    <w:rsid w:val="00853E83"/>
    <w:pPr>
      <w:ind w:left="720"/>
      <w:contextualSpacing/>
    </w:pPr>
  </w:style>
  <w:style w:type="character" w:styleId="GevolgdeHyperlink">
    <w:name w:val="FollowedHyperlink"/>
    <w:basedOn w:val="Standaardalinea-lettertype"/>
    <w:uiPriority w:val="99"/>
    <w:semiHidden/>
    <w:unhideWhenUsed/>
    <w:rsid w:val="00853E83"/>
    <w:rPr>
      <w:color w:val="954F72" w:themeColor="followedHyperlink"/>
      <w:u w:val="single"/>
    </w:rPr>
  </w:style>
  <w:style w:type="character" w:customStyle="1" w:styleId="Nadruk1">
    <w:name w:val="Nadruk1"/>
    <w:basedOn w:val="Standaardalinea-lettertype"/>
    <w:rsid w:val="007F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spraken.rechtspraak.nl/inziendocument?id=ECLI:NL:RBDHA:2015:6928&amp;keyword=%22onregelmatigheidstoeslag%22" TargetMode="External"/><Relationship Id="rId13" Type="http://schemas.openxmlformats.org/officeDocument/2006/relationships/hyperlink" Target="https://uitspraken.rechtspraak.nl/inziendocument?id=ECLI:NL:RBNHO:2016:7473&amp;keyword=%22onregelmatigheidstoeslag%22" TargetMode="External"/><Relationship Id="rId18" Type="http://schemas.openxmlformats.org/officeDocument/2006/relationships/hyperlink" Target="https://uitspraken.rechtspraak.nl/inziendocument?id=ECLI:NL:RBGEL:2016:6568&amp;keyword=NL%3aRBGEL%3a2016%3a6568" TargetMode="External"/><Relationship Id="rId3" Type="http://schemas.openxmlformats.org/officeDocument/2006/relationships/styles" Target="styles.xml"/><Relationship Id="rId7" Type="http://schemas.openxmlformats.org/officeDocument/2006/relationships/hyperlink" Target="https://uitspraken.rechtspraak.nl/inziendocument?id=ECLI:NL:GHDHA:2014:4708&amp;keyword=%22onregelmatigheidstoeslag%22" TargetMode="External"/><Relationship Id="rId12" Type="http://schemas.openxmlformats.org/officeDocument/2006/relationships/hyperlink" Target="https://uitspraken.rechtspraak.nl/inziendocument?id=ECLI:NL:RBOBR:2016:5190&amp;keyword=%22onregelmatigheidstoeslag%22" TargetMode="External"/><Relationship Id="rId17" Type="http://schemas.openxmlformats.org/officeDocument/2006/relationships/hyperlink" Target="https://uitspraken.rechtspraak.nl/inziendocument?id=ECLI:NL:RBROT:2016:8883&amp;keyword=%22onregelmatigheidstoeslag%22" TargetMode="External"/><Relationship Id="rId2" Type="http://schemas.openxmlformats.org/officeDocument/2006/relationships/numbering" Target="numbering.xml"/><Relationship Id="rId16" Type="http://schemas.openxmlformats.org/officeDocument/2006/relationships/hyperlink" Target="https://uitspraken.rechtspraak.nl/inziendocument?id=ECLI:NL:RBOVE:2016:4302&amp;keyword=%22gehandicaptenzorg%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uria.europa.eu/juris/document/document.jsf;jsessionid=9ea7d2dc30d57b7bb233b21f45d69cbb9131f942998a.e34KaxiLc3qMb40Rch0SaxyKbx10?text=&amp;docid=109611&amp;pageIndex=0&amp;doclang=NL&amp;mode=lst&amp;dir=&amp;occ=first&amp;part=1&amp;cid=836110" TargetMode="External"/><Relationship Id="rId11" Type="http://schemas.openxmlformats.org/officeDocument/2006/relationships/hyperlink" Target="https://uitspraken.rechtspraak.nl/inziendocument?id=ECLI:NL:RBZWB:2016:7816&amp;keyword=onregelmatigheidstoeslag" TargetMode="External"/><Relationship Id="rId5" Type="http://schemas.openxmlformats.org/officeDocument/2006/relationships/webSettings" Target="webSettings.xml"/><Relationship Id="rId15" Type="http://schemas.openxmlformats.org/officeDocument/2006/relationships/hyperlink" Target="https://uitspraken.rechtspraak.nl/inziendocument?id=ECLI:NL:RBZWB:2016:6533&amp;keyword=%22ORT%22" TargetMode="External"/><Relationship Id="rId10" Type="http://schemas.openxmlformats.org/officeDocument/2006/relationships/hyperlink" Target="https://uitspraken.rechtspraak.nl/inziendocument?id=ECLI:NL:RBMNE:2015:7916&amp;keyword=%22onregelmatigheidstoeslag%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itspraken.rechtspraak.nl/inziendocument?id=ECLI:NL:RBDHA:2015:6327&amp;keyword=%22onregelmatigheidstoeslag%22" TargetMode="External"/><Relationship Id="rId14" Type="http://schemas.openxmlformats.org/officeDocument/2006/relationships/hyperlink" Target="https://uitspraken.rechtspraak.nl/inziendocument?id=ECLI:NL:GHDHA:2016:258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A3BE-B219-49E1-A719-E9AEE7EB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799</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Leemans</dc:creator>
  <cp:keywords/>
  <dc:description/>
  <cp:lastModifiedBy>Margo Leemans</cp:lastModifiedBy>
  <cp:revision>16</cp:revision>
  <cp:lastPrinted>2016-12-22T10:10:00Z</cp:lastPrinted>
  <dcterms:created xsi:type="dcterms:W3CDTF">2016-12-21T14:05:00Z</dcterms:created>
  <dcterms:modified xsi:type="dcterms:W3CDTF">2016-12-28T19:49:00Z</dcterms:modified>
</cp:coreProperties>
</file>