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85E0E" w14:textId="6C9C3057" w:rsidR="000269F5" w:rsidRDefault="00C02179" w:rsidP="000269F5">
      <w:pPr>
        <w:rPr>
          <w:rFonts w:ascii="Verdana" w:hAnsi="Verdana"/>
          <w:b/>
          <w:bCs/>
          <w:sz w:val="20"/>
          <w:szCs w:val="20"/>
          <w:lang w:eastAsia="nl-NL"/>
        </w:rPr>
      </w:pPr>
      <w:r>
        <w:rPr>
          <w:rFonts w:ascii="Verdana" w:hAnsi="Verdana"/>
          <w:b/>
          <w:bCs/>
          <w:sz w:val="20"/>
          <w:szCs w:val="20"/>
          <w:lang w:eastAsia="nl-NL"/>
        </w:rPr>
        <w:t>I</w:t>
      </w:r>
      <w:r>
        <w:rPr>
          <w:rFonts w:ascii="Verdana" w:hAnsi="Verdana"/>
          <w:b/>
          <w:bCs/>
          <w:sz w:val="20"/>
          <w:szCs w:val="20"/>
          <w:lang w:eastAsia="nl-NL"/>
        </w:rPr>
        <w:t xml:space="preserve">nvoering </w:t>
      </w:r>
      <w:r w:rsidR="000269F5">
        <w:rPr>
          <w:rFonts w:ascii="Verdana" w:hAnsi="Verdana"/>
          <w:b/>
          <w:bCs/>
          <w:sz w:val="20"/>
          <w:szCs w:val="20"/>
          <w:lang w:eastAsia="nl-NL"/>
        </w:rPr>
        <w:t xml:space="preserve">FWG Gehandicaptenzorg </w:t>
      </w:r>
      <w:r>
        <w:rPr>
          <w:rFonts w:ascii="Verdana" w:hAnsi="Verdana"/>
          <w:b/>
          <w:bCs/>
          <w:sz w:val="20"/>
          <w:szCs w:val="20"/>
          <w:lang w:eastAsia="nl-NL"/>
        </w:rPr>
        <w:t xml:space="preserve"> per 1 april 2018</w:t>
      </w:r>
    </w:p>
    <w:p w14:paraId="214CFD34" w14:textId="0C90C4C8" w:rsidR="000269F5" w:rsidRDefault="00E87C8A" w:rsidP="000269F5">
      <w:pPr>
        <w:rPr>
          <w:rFonts w:ascii="Verdana" w:hAnsi="Verdana"/>
          <w:sz w:val="20"/>
          <w:szCs w:val="20"/>
          <w:lang w:eastAsia="nl-NL"/>
        </w:rPr>
      </w:pPr>
      <w:r>
        <w:rPr>
          <w:rFonts w:ascii="Verdana" w:hAnsi="Verdana"/>
          <w:sz w:val="20"/>
          <w:szCs w:val="20"/>
          <w:lang w:eastAsia="nl-NL"/>
        </w:rPr>
        <w:t xml:space="preserve">Per 1 april 2018 </w:t>
      </w:r>
      <w:r w:rsidR="00A81732">
        <w:rPr>
          <w:rFonts w:ascii="Verdana" w:hAnsi="Verdana"/>
          <w:sz w:val="20"/>
          <w:szCs w:val="20"/>
          <w:lang w:eastAsia="nl-NL"/>
        </w:rPr>
        <w:t>wordt</w:t>
      </w:r>
      <w:r>
        <w:rPr>
          <w:rFonts w:ascii="Verdana" w:hAnsi="Verdana"/>
          <w:sz w:val="20"/>
          <w:szCs w:val="20"/>
          <w:lang w:eastAsia="nl-NL"/>
        </w:rPr>
        <w:t xml:space="preserve"> FWG Gehandicaptenzorg in</w:t>
      </w:r>
      <w:r w:rsidR="00A81732">
        <w:rPr>
          <w:rFonts w:ascii="Verdana" w:hAnsi="Verdana"/>
          <w:sz w:val="20"/>
          <w:szCs w:val="20"/>
          <w:lang w:eastAsia="nl-NL"/>
        </w:rPr>
        <w:t xml:space="preserve">gevoerd. </w:t>
      </w:r>
      <w:r w:rsidR="005F102B">
        <w:rPr>
          <w:rFonts w:ascii="Verdana" w:hAnsi="Verdana"/>
          <w:sz w:val="20"/>
          <w:szCs w:val="20"/>
          <w:lang w:eastAsia="nl-NL"/>
        </w:rPr>
        <w:t>D</w:t>
      </w:r>
      <w:r>
        <w:rPr>
          <w:rFonts w:ascii="Verdana" w:hAnsi="Verdana"/>
          <w:sz w:val="20"/>
          <w:szCs w:val="20"/>
          <w:lang w:eastAsia="nl-NL"/>
        </w:rPr>
        <w:t xml:space="preserve">it vloeit voort uit de </w:t>
      </w:r>
      <w:r w:rsidR="000269F5">
        <w:rPr>
          <w:rFonts w:ascii="Verdana" w:hAnsi="Verdana"/>
          <w:sz w:val="20"/>
          <w:szCs w:val="20"/>
          <w:lang w:eastAsia="nl-NL"/>
        </w:rPr>
        <w:t>CAO Gehandicaptenzorg 2017-2019</w:t>
      </w:r>
      <w:r w:rsidR="003E78E9">
        <w:rPr>
          <w:rFonts w:ascii="Verdana" w:hAnsi="Verdana"/>
          <w:sz w:val="20"/>
          <w:szCs w:val="20"/>
          <w:lang w:eastAsia="nl-NL"/>
        </w:rPr>
        <w:t xml:space="preserve">. </w:t>
      </w:r>
      <w:r w:rsidR="000269F5">
        <w:rPr>
          <w:rFonts w:ascii="Verdana" w:hAnsi="Verdana"/>
          <w:sz w:val="20"/>
          <w:szCs w:val="20"/>
          <w:lang w:eastAsia="nl-NL"/>
        </w:rPr>
        <w:t xml:space="preserve">FWG Gehandicaptenzorg is een vereenvoudigde en transparante vorm van indelen, gebaseerd op FWG 3.0. De onderliggende methodiek van FWG 3.0 blijft gehandhaafd. De toepassing van FWG Gehandicaptenzorg geldt alleen voor nieuwe indelingen na de implementatie van FWG Gehandicaptenzorg op 1 april 2018. Voor meer informatie over FWG Gehandicaptenzorg verwijzen wij u naar </w:t>
      </w:r>
      <w:hyperlink r:id="rId4" w:history="1">
        <w:r w:rsidR="000269F5" w:rsidRPr="000269F5">
          <w:rPr>
            <w:rStyle w:val="Hyperlink"/>
            <w:rFonts w:ascii="Verdana" w:hAnsi="Verdana"/>
            <w:sz w:val="20"/>
            <w:szCs w:val="20"/>
            <w:lang w:eastAsia="nl-NL"/>
          </w:rPr>
          <w:t>FWG</w:t>
        </w:r>
      </w:hyperlink>
      <w:r w:rsidR="000269F5">
        <w:rPr>
          <w:rFonts w:ascii="Verdana" w:hAnsi="Verdana"/>
          <w:sz w:val="20"/>
          <w:szCs w:val="20"/>
          <w:lang w:eastAsia="nl-NL"/>
        </w:rPr>
        <w:t>.</w:t>
      </w:r>
    </w:p>
    <w:p w14:paraId="219A7D9F" w14:textId="22861573" w:rsidR="000269F5" w:rsidRDefault="000269F5" w:rsidP="000269F5">
      <w:pPr>
        <w:spacing w:before="100" w:beforeAutospacing="1" w:after="240"/>
        <w:rPr>
          <w:rFonts w:ascii="Verdana" w:hAnsi="Verdana"/>
          <w:sz w:val="20"/>
          <w:szCs w:val="20"/>
          <w:lang w:eastAsia="nl-NL"/>
        </w:rPr>
      </w:pPr>
      <w:r>
        <w:rPr>
          <w:rFonts w:ascii="Verdana" w:hAnsi="Verdana"/>
          <w:sz w:val="20"/>
          <w:szCs w:val="20"/>
          <w:lang w:eastAsia="nl-NL"/>
        </w:rPr>
        <w:t>Naast een andere werkwijze voor het indelen van functies, is er ook een aanpassing van de huidige FWG-procedures voor functiewaardering afgesproken in de CAO Gehandicaptenzorg</w:t>
      </w:r>
      <w:r w:rsidR="005F102B">
        <w:rPr>
          <w:rFonts w:ascii="Verdana" w:hAnsi="Verdana"/>
          <w:sz w:val="20"/>
          <w:szCs w:val="20"/>
          <w:lang w:eastAsia="nl-NL"/>
        </w:rPr>
        <w:t xml:space="preserve">. Deze aanpassing gaat ook in </w:t>
      </w:r>
      <w:r>
        <w:rPr>
          <w:rFonts w:ascii="Verdana" w:hAnsi="Verdana"/>
          <w:sz w:val="20"/>
          <w:szCs w:val="20"/>
          <w:lang w:eastAsia="nl-NL"/>
        </w:rPr>
        <w:t xml:space="preserve">per 1 april 2018. De nieuwe afspraken hebben als doel de bestaande procedures te actualiseren en gebruiksvriendelijker te maken. </w:t>
      </w:r>
      <w:r w:rsidR="00893B42">
        <w:rPr>
          <w:rFonts w:ascii="Verdana" w:hAnsi="Verdana"/>
          <w:sz w:val="20"/>
          <w:szCs w:val="20"/>
          <w:lang w:eastAsia="nl-NL"/>
        </w:rPr>
        <w:t>Hierna gaan we in op de wijzigingen van deze procedures.</w:t>
      </w:r>
    </w:p>
    <w:p w14:paraId="3ED20C69" w14:textId="77777777" w:rsidR="000269F5" w:rsidRDefault="000269F5" w:rsidP="000269F5">
      <w:pPr>
        <w:rPr>
          <w:rFonts w:ascii="Verdana" w:hAnsi="Verdana"/>
          <w:b/>
          <w:bCs/>
          <w:sz w:val="20"/>
          <w:szCs w:val="20"/>
          <w:lang w:eastAsia="nl-NL"/>
        </w:rPr>
      </w:pPr>
      <w:r>
        <w:rPr>
          <w:rFonts w:ascii="Verdana" w:hAnsi="Verdana"/>
          <w:b/>
          <w:bCs/>
          <w:sz w:val="20"/>
          <w:szCs w:val="20"/>
          <w:lang w:eastAsia="nl-NL"/>
        </w:rPr>
        <w:t>FWG-procedures CAO Gehandicaptenzorg</w:t>
      </w:r>
    </w:p>
    <w:p w14:paraId="4ECC6E4C" w14:textId="127898DC" w:rsidR="001325E3" w:rsidRDefault="00B7726C" w:rsidP="001325E3">
      <w:pPr>
        <w:rPr>
          <w:rFonts w:ascii="Verdana" w:hAnsi="Verdana"/>
          <w:sz w:val="20"/>
          <w:szCs w:val="20"/>
          <w:lang w:eastAsia="nl-NL"/>
        </w:rPr>
      </w:pPr>
      <w:r>
        <w:rPr>
          <w:rFonts w:ascii="Verdana" w:hAnsi="Verdana"/>
          <w:sz w:val="20"/>
          <w:szCs w:val="20"/>
          <w:lang w:eastAsia="nl-NL"/>
        </w:rPr>
        <w:t xml:space="preserve">Alle FWG-procedures vindt u in bijlage 4 (van toepassing vanaf invoering FWG Gehandicaptenzorg per 1 april 2018). </w:t>
      </w:r>
      <w:r w:rsidR="000269F5">
        <w:rPr>
          <w:rFonts w:ascii="Verdana" w:hAnsi="Verdana"/>
          <w:sz w:val="20"/>
          <w:szCs w:val="20"/>
          <w:lang w:eastAsia="nl-NL"/>
        </w:rPr>
        <w:t xml:space="preserve">Nieuw is dat er </w:t>
      </w:r>
      <w:r w:rsidR="00113010">
        <w:rPr>
          <w:rFonts w:ascii="Verdana" w:hAnsi="Verdana"/>
          <w:sz w:val="20"/>
          <w:szCs w:val="20"/>
          <w:lang w:eastAsia="nl-NL"/>
        </w:rPr>
        <w:t>éé</w:t>
      </w:r>
      <w:r w:rsidR="00461D21">
        <w:rPr>
          <w:rFonts w:ascii="Verdana" w:hAnsi="Verdana"/>
          <w:sz w:val="20"/>
          <w:szCs w:val="20"/>
          <w:lang w:eastAsia="nl-NL"/>
        </w:rPr>
        <w:t>n</w:t>
      </w:r>
      <w:r w:rsidR="000269F5">
        <w:rPr>
          <w:rFonts w:ascii="Verdana" w:hAnsi="Verdana"/>
          <w:sz w:val="20"/>
          <w:szCs w:val="20"/>
          <w:lang w:eastAsia="nl-NL"/>
        </w:rPr>
        <w:t xml:space="preserve"> procedure is voor het wijzigen van de functiebeschrijving en de indeling. </w:t>
      </w:r>
      <w:r w:rsidR="005F102B">
        <w:rPr>
          <w:rFonts w:ascii="Verdana" w:hAnsi="Verdana"/>
          <w:sz w:val="20"/>
          <w:szCs w:val="20"/>
          <w:lang w:eastAsia="nl-NL"/>
        </w:rPr>
        <w:t xml:space="preserve">In </w:t>
      </w:r>
      <w:r w:rsidR="005F102B" w:rsidRPr="00764680">
        <w:rPr>
          <w:rFonts w:ascii="Verdana" w:hAnsi="Verdana"/>
          <w:i/>
          <w:sz w:val="20"/>
          <w:szCs w:val="20"/>
          <w:lang w:eastAsia="nl-NL"/>
        </w:rPr>
        <w:t>artikel 1</w:t>
      </w:r>
      <w:r w:rsidR="005F102B">
        <w:rPr>
          <w:rFonts w:ascii="Verdana" w:hAnsi="Verdana"/>
          <w:sz w:val="20"/>
          <w:szCs w:val="20"/>
          <w:lang w:eastAsia="nl-NL"/>
        </w:rPr>
        <w:t xml:space="preserve"> staan de a</w:t>
      </w:r>
      <w:r w:rsidR="000269F5">
        <w:rPr>
          <w:rFonts w:ascii="Verdana" w:hAnsi="Verdana"/>
          <w:sz w:val="20"/>
          <w:szCs w:val="20"/>
          <w:lang w:eastAsia="nl-NL"/>
        </w:rPr>
        <w:t>anleidingen voor deze wijzigingsprocedure bij elkaar</w:t>
      </w:r>
      <w:r w:rsidR="005F102B">
        <w:rPr>
          <w:rFonts w:ascii="Verdana" w:hAnsi="Verdana"/>
          <w:sz w:val="20"/>
          <w:szCs w:val="20"/>
          <w:lang w:eastAsia="nl-NL"/>
        </w:rPr>
        <w:t>.</w:t>
      </w:r>
      <w:r w:rsidR="000269F5">
        <w:rPr>
          <w:rFonts w:ascii="Verdana" w:hAnsi="Verdana"/>
          <w:sz w:val="20"/>
          <w:szCs w:val="20"/>
          <w:lang w:eastAsia="nl-NL"/>
        </w:rPr>
        <w:t xml:space="preserve"> </w:t>
      </w:r>
      <w:r w:rsidR="00764680">
        <w:rPr>
          <w:rFonts w:ascii="Verdana" w:hAnsi="Verdana"/>
          <w:sz w:val="20"/>
          <w:szCs w:val="20"/>
          <w:lang w:eastAsia="nl-NL"/>
        </w:rPr>
        <w:t>Bij</w:t>
      </w:r>
      <w:r w:rsidR="000269F5">
        <w:rPr>
          <w:rFonts w:ascii="Verdana" w:hAnsi="Verdana"/>
          <w:sz w:val="20"/>
          <w:szCs w:val="20"/>
          <w:lang w:eastAsia="nl-NL"/>
        </w:rPr>
        <w:t xml:space="preserve"> een wijzigingsprocedure </w:t>
      </w:r>
      <w:r w:rsidR="00764680">
        <w:rPr>
          <w:rFonts w:ascii="Verdana" w:hAnsi="Verdana"/>
          <w:sz w:val="20"/>
          <w:szCs w:val="20"/>
          <w:lang w:eastAsia="nl-NL"/>
        </w:rPr>
        <w:t xml:space="preserve">wordt </w:t>
      </w:r>
      <w:r w:rsidR="000269F5">
        <w:rPr>
          <w:rFonts w:ascii="Verdana" w:hAnsi="Verdana"/>
          <w:sz w:val="20"/>
          <w:szCs w:val="20"/>
          <w:lang w:eastAsia="nl-NL"/>
        </w:rPr>
        <w:t xml:space="preserve">de functiebeschrijving en indeling </w:t>
      </w:r>
      <w:r w:rsidR="00BD53A0">
        <w:rPr>
          <w:rFonts w:ascii="Verdana" w:hAnsi="Verdana"/>
          <w:sz w:val="20"/>
          <w:szCs w:val="20"/>
          <w:lang w:eastAsia="nl-NL"/>
        </w:rPr>
        <w:t>tegelij</w:t>
      </w:r>
      <w:r w:rsidR="00764680">
        <w:rPr>
          <w:rFonts w:ascii="Verdana" w:hAnsi="Verdana"/>
          <w:sz w:val="20"/>
          <w:szCs w:val="20"/>
          <w:lang w:eastAsia="nl-NL"/>
        </w:rPr>
        <w:t>k</w:t>
      </w:r>
      <w:r w:rsidR="00BD53A0">
        <w:rPr>
          <w:rFonts w:ascii="Verdana" w:hAnsi="Verdana"/>
          <w:sz w:val="20"/>
          <w:szCs w:val="20"/>
          <w:lang w:eastAsia="nl-NL"/>
        </w:rPr>
        <w:t xml:space="preserve"> aangeboden.</w:t>
      </w:r>
      <w:r w:rsidR="000269F5">
        <w:rPr>
          <w:rFonts w:ascii="Verdana" w:hAnsi="Verdana"/>
          <w:sz w:val="20"/>
          <w:szCs w:val="20"/>
          <w:lang w:eastAsia="nl-NL"/>
        </w:rPr>
        <w:t xml:space="preserve"> </w:t>
      </w:r>
    </w:p>
    <w:p w14:paraId="13B0486E" w14:textId="2616BDAB" w:rsidR="00893B42" w:rsidRDefault="00893B42" w:rsidP="000269F5">
      <w:pPr>
        <w:spacing w:before="100" w:beforeAutospacing="1" w:after="100" w:afterAutospacing="1"/>
        <w:rPr>
          <w:rFonts w:ascii="Verdana" w:hAnsi="Verdana"/>
          <w:sz w:val="20"/>
          <w:szCs w:val="20"/>
          <w:lang w:eastAsia="nl-NL"/>
        </w:rPr>
      </w:pPr>
      <w:r w:rsidRPr="00764680">
        <w:rPr>
          <w:rFonts w:ascii="Verdana" w:hAnsi="Verdana"/>
          <w:i/>
          <w:sz w:val="20"/>
          <w:szCs w:val="20"/>
          <w:lang w:eastAsia="nl-NL"/>
        </w:rPr>
        <w:t>Artikel 2</w:t>
      </w:r>
      <w:r>
        <w:rPr>
          <w:rFonts w:ascii="Verdana" w:hAnsi="Verdana"/>
          <w:sz w:val="20"/>
          <w:szCs w:val="20"/>
          <w:lang w:eastAsia="nl-NL"/>
        </w:rPr>
        <w:t xml:space="preserve"> regelt</w:t>
      </w:r>
      <w:r w:rsidR="003E78E9">
        <w:rPr>
          <w:rFonts w:ascii="Verdana" w:hAnsi="Verdana"/>
          <w:sz w:val="20"/>
          <w:szCs w:val="20"/>
          <w:lang w:eastAsia="nl-NL"/>
        </w:rPr>
        <w:t xml:space="preserve"> de</w:t>
      </w:r>
      <w:r>
        <w:rPr>
          <w:rFonts w:ascii="Verdana" w:hAnsi="Verdana"/>
          <w:sz w:val="20"/>
          <w:szCs w:val="20"/>
          <w:lang w:eastAsia="nl-NL"/>
        </w:rPr>
        <w:t xml:space="preserve"> termijnen wanneer een wijzigingsprocedure gestart kan worden en welke vormvereisten hiervoor gelden.</w:t>
      </w:r>
      <w:r w:rsidR="00EF7334">
        <w:rPr>
          <w:rFonts w:ascii="Verdana" w:hAnsi="Verdana"/>
          <w:sz w:val="20"/>
          <w:szCs w:val="20"/>
          <w:lang w:eastAsia="nl-NL"/>
        </w:rPr>
        <w:t xml:space="preserve"> </w:t>
      </w:r>
      <w:r w:rsidR="00BD53A0">
        <w:rPr>
          <w:rFonts w:ascii="Verdana" w:hAnsi="Verdana"/>
          <w:sz w:val="20"/>
          <w:szCs w:val="20"/>
          <w:lang w:eastAsia="nl-NL"/>
        </w:rPr>
        <w:t xml:space="preserve">In </w:t>
      </w:r>
      <w:r w:rsidR="00BD53A0" w:rsidRPr="00764680">
        <w:rPr>
          <w:rFonts w:ascii="Verdana" w:hAnsi="Verdana"/>
          <w:i/>
          <w:sz w:val="20"/>
          <w:szCs w:val="20"/>
          <w:lang w:eastAsia="nl-NL"/>
        </w:rPr>
        <w:t>artikel 3</w:t>
      </w:r>
      <w:r w:rsidR="00BD53A0">
        <w:rPr>
          <w:rFonts w:ascii="Verdana" w:hAnsi="Verdana"/>
          <w:sz w:val="20"/>
          <w:szCs w:val="20"/>
          <w:lang w:eastAsia="nl-NL"/>
        </w:rPr>
        <w:t xml:space="preserve"> staat dat a</w:t>
      </w:r>
      <w:r>
        <w:rPr>
          <w:rFonts w:ascii="Verdana" w:hAnsi="Verdana"/>
          <w:sz w:val="20"/>
          <w:szCs w:val="20"/>
          <w:lang w:eastAsia="nl-NL"/>
        </w:rPr>
        <w:t>ls de werknemer</w:t>
      </w:r>
      <w:r w:rsidR="00BD53A0">
        <w:rPr>
          <w:rFonts w:ascii="Verdana" w:hAnsi="Verdana"/>
          <w:sz w:val="20"/>
          <w:szCs w:val="20"/>
          <w:lang w:eastAsia="nl-NL"/>
        </w:rPr>
        <w:t xml:space="preserve"> een verzoek tot wijziging doet </w:t>
      </w:r>
      <w:r>
        <w:rPr>
          <w:rFonts w:ascii="Verdana" w:hAnsi="Verdana"/>
          <w:sz w:val="20"/>
          <w:szCs w:val="20"/>
          <w:lang w:eastAsia="nl-NL"/>
        </w:rPr>
        <w:t xml:space="preserve">de werkgever </w:t>
      </w:r>
      <w:r w:rsidR="00BD53A0">
        <w:rPr>
          <w:rFonts w:ascii="Verdana" w:hAnsi="Verdana"/>
          <w:sz w:val="20"/>
          <w:szCs w:val="20"/>
          <w:lang w:eastAsia="nl-NL"/>
        </w:rPr>
        <w:t xml:space="preserve">beoordeelt </w:t>
      </w:r>
      <w:r>
        <w:rPr>
          <w:rFonts w:ascii="Verdana" w:hAnsi="Verdana"/>
          <w:sz w:val="20"/>
          <w:szCs w:val="20"/>
          <w:lang w:eastAsia="nl-NL"/>
        </w:rPr>
        <w:t>of sprake is van een aanleiding voor het starten van een wijzigingsprocedure</w:t>
      </w:r>
      <w:r w:rsidR="00EF7334">
        <w:rPr>
          <w:rFonts w:ascii="Verdana" w:hAnsi="Verdana"/>
          <w:sz w:val="20"/>
          <w:szCs w:val="20"/>
          <w:lang w:eastAsia="nl-NL"/>
        </w:rPr>
        <w:t xml:space="preserve"> (artikel 3 lid 1)</w:t>
      </w:r>
      <w:r>
        <w:rPr>
          <w:rFonts w:ascii="Verdana" w:hAnsi="Verdana"/>
          <w:sz w:val="20"/>
          <w:szCs w:val="20"/>
          <w:lang w:eastAsia="nl-NL"/>
        </w:rPr>
        <w:t xml:space="preserve">. </w:t>
      </w:r>
      <w:r w:rsidR="00EF7334">
        <w:rPr>
          <w:rFonts w:ascii="Verdana" w:hAnsi="Verdana"/>
          <w:sz w:val="20"/>
          <w:szCs w:val="20"/>
          <w:lang w:eastAsia="nl-NL"/>
        </w:rPr>
        <w:t xml:space="preserve">Tegen een afwijzing van de werkgever kan </w:t>
      </w:r>
      <w:r w:rsidR="00BD53A0">
        <w:rPr>
          <w:rFonts w:ascii="Verdana" w:hAnsi="Verdana"/>
          <w:sz w:val="20"/>
          <w:szCs w:val="20"/>
          <w:lang w:eastAsia="nl-NL"/>
        </w:rPr>
        <w:t xml:space="preserve">de werknemer </w:t>
      </w:r>
      <w:r w:rsidR="00EF7334">
        <w:rPr>
          <w:rFonts w:ascii="Verdana" w:hAnsi="Verdana"/>
          <w:sz w:val="20"/>
          <w:szCs w:val="20"/>
          <w:lang w:eastAsia="nl-NL"/>
        </w:rPr>
        <w:t>bezwaar ma</w:t>
      </w:r>
      <w:r w:rsidR="00BD53A0">
        <w:rPr>
          <w:rFonts w:ascii="Verdana" w:hAnsi="Verdana"/>
          <w:sz w:val="20"/>
          <w:szCs w:val="20"/>
          <w:lang w:eastAsia="nl-NL"/>
        </w:rPr>
        <w:t>ken</w:t>
      </w:r>
      <w:r w:rsidR="00EF7334">
        <w:rPr>
          <w:rFonts w:ascii="Verdana" w:hAnsi="Verdana"/>
          <w:sz w:val="20"/>
          <w:szCs w:val="20"/>
          <w:lang w:eastAsia="nl-NL"/>
        </w:rPr>
        <w:t xml:space="preserve"> (artikel 3 lid 2).  </w:t>
      </w:r>
    </w:p>
    <w:p w14:paraId="6CD7703C" w14:textId="6AE39F63" w:rsidR="000269F5" w:rsidRDefault="000269F5" w:rsidP="000269F5">
      <w:pPr>
        <w:spacing w:before="100" w:beforeAutospacing="1" w:after="100" w:afterAutospacing="1"/>
        <w:rPr>
          <w:rFonts w:ascii="Verdana" w:hAnsi="Verdana"/>
          <w:sz w:val="20"/>
          <w:szCs w:val="20"/>
          <w:lang w:eastAsia="nl-NL"/>
        </w:rPr>
      </w:pPr>
      <w:r>
        <w:rPr>
          <w:rFonts w:ascii="Verdana" w:hAnsi="Verdana"/>
          <w:sz w:val="20"/>
          <w:szCs w:val="20"/>
          <w:lang w:eastAsia="nl-NL"/>
        </w:rPr>
        <w:t xml:space="preserve">Als </w:t>
      </w:r>
      <w:r w:rsidR="00461D21">
        <w:rPr>
          <w:rFonts w:ascii="Verdana" w:hAnsi="Verdana"/>
          <w:sz w:val="20"/>
          <w:szCs w:val="20"/>
          <w:lang w:eastAsia="nl-NL"/>
        </w:rPr>
        <w:t xml:space="preserve">er een aanleiding is om </w:t>
      </w:r>
      <w:r>
        <w:rPr>
          <w:rFonts w:ascii="Verdana" w:hAnsi="Verdana"/>
          <w:sz w:val="20"/>
          <w:szCs w:val="20"/>
          <w:lang w:eastAsia="nl-NL"/>
        </w:rPr>
        <w:t>over</w:t>
      </w:r>
      <w:r w:rsidR="00461D21">
        <w:rPr>
          <w:rFonts w:ascii="Verdana" w:hAnsi="Verdana"/>
          <w:sz w:val="20"/>
          <w:szCs w:val="20"/>
          <w:lang w:eastAsia="nl-NL"/>
        </w:rPr>
        <w:t xml:space="preserve"> te </w:t>
      </w:r>
      <w:r>
        <w:rPr>
          <w:rFonts w:ascii="Verdana" w:hAnsi="Verdana"/>
          <w:sz w:val="20"/>
          <w:szCs w:val="20"/>
          <w:lang w:eastAsia="nl-NL"/>
        </w:rPr>
        <w:t xml:space="preserve">gaan tot een wijzigingsprocedure, dan geldt hiervoor de procedure zoals verwoord in </w:t>
      </w:r>
      <w:r w:rsidRPr="00764680">
        <w:rPr>
          <w:rFonts w:ascii="Verdana" w:hAnsi="Verdana"/>
          <w:i/>
          <w:sz w:val="20"/>
          <w:szCs w:val="20"/>
          <w:lang w:eastAsia="nl-NL"/>
        </w:rPr>
        <w:t>artikel 4</w:t>
      </w:r>
      <w:r>
        <w:rPr>
          <w:rFonts w:ascii="Verdana" w:hAnsi="Verdana"/>
          <w:sz w:val="20"/>
          <w:szCs w:val="20"/>
          <w:lang w:eastAsia="nl-NL"/>
        </w:rPr>
        <w:t xml:space="preserve">. </w:t>
      </w:r>
      <w:r w:rsidR="001325E3">
        <w:rPr>
          <w:rFonts w:ascii="Verdana" w:hAnsi="Verdana"/>
          <w:sz w:val="20"/>
          <w:szCs w:val="20"/>
          <w:lang w:eastAsia="nl-NL"/>
        </w:rPr>
        <w:t xml:space="preserve">De procedure begint met het voorleggen van zowel de functiebeschrijving en indeling aan de werknemer. De werknemer heeft de mogelijkheid bezwaar te maken tegen zowel de functiebeschrijving als de indeling. Bezwaar maken gaat ook gelijktijdig. Indien de werknemer bezwaar maakt tegen de functiebeschrijving </w:t>
      </w:r>
      <w:r w:rsidR="00005AE1">
        <w:rPr>
          <w:rFonts w:ascii="Verdana" w:hAnsi="Verdana"/>
          <w:sz w:val="20"/>
          <w:szCs w:val="20"/>
          <w:lang w:eastAsia="nl-NL"/>
        </w:rPr>
        <w:t>en de indeling dan moet er eerst gekeken worden naar het bezwaar op de functiebeschrijving.</w:t>
      </w:r>
      <w:r w:rsidR="0094313C">
        <w:rPr>
          <w:rFonts w:ascii="Verdana" w:hAnsi="Verdana"/>
          <w:sz w:val="20"/>
          <w:szCs w:val="20"/>
          <w:lang w:eastAsia="nl-NL"/>
        </w:rPr>
        <w:t xml:space="preserve"> De werkgever vraagt advies aan de IBC-FWG over het bezwaar van de werknemer. Nadat de IBC-FWG advies heeft uitgebracht over het bezwaar van de werknemer stelt de werkgever de functiebeschrijving vast.</w:t>
      </w:r>
      <w:r w:rsidR="00B7726C">
        <w:rPr>
          <w:rFonts w:ascii="Verdana" w:hAnsi="Verdana"/>
          <w:sz w:val="20"/>
          <w:szCs w:val="20"/>
          <w:lang w:eastAsia="nl-NL"/>
        </w:rPr>
        <w:t xml:space="preserve"> </w:t>
      </w:r>
      <w:r w:rsidR="0094313C">
        <w:rPr>
          <w:rFonts w:ascii="Verdana" w:hAnsi="Verdana"/>
          <w:sz w:val="20"/>
          <w:szCs w:val="20"/>
          <w:lang w:eastAsia="nl-NL"/>
        </w:rPr>
        <w:t xml:space="preserve">De werknemer kan </w:t>
      </w:r>
      <w:r w:rsidR="00B7726C">
        <w:rPr>
          <w:rFonts w:ascii="Verdana" w:hAnsi="Verdana"/>
          <w:sz w:val="20"/>
          <w:szCs w:val="20"/>
          <w:lang w:eastAsia="nl-NL"/>
        </w:rPr>
        <w:t xml:space="preserve">dan </w:t>
      </w:r>
      <w:r w:rsidR="0094313C">
        <w:rPr>
          <w:rFonts w:ascii="Verdana" w:hAnsi="Verdana"/>
          <w:sz w:val="20"/>
          <w:szCs w:val="20"/>
          <w:lang w:eastAsia="nl-NL"/>
        </w:rPr>
        <w:t xml:space="preserve">tegen de indeling bezwaar maken. Ook dan brengt de </w:t>
      </w:r>
      <w:r w:rsidR="00D87A34">
        <w:rPr>
          <w:rFonts w:ascii="Verdana" w:hAnsi="Verdana"/>
          <w:sz w:val="20"/>
          <w:szCs w:val="20"/>
          <w:lang w:eastAsia="nl-NL"/>
        </w:rPr>
        <w:t>IBC-FWG advies uit over het bezwaar</w:t>
      </w:r>
      <w:r w:rsidR="0094313C">
        <w:rPr>
          <w:rFonts w:ascii="Verdana" w:hAnsi="Verdana"/>
          <w:sz w:val="20"/>
          <w:szCs w:val="20"/>
          <w:lang w:eastAsia="nl-NL"/>
        </w:rPr>
        <w:t xml:space="preserve"> van de werknemer</w:t>
      </w:r>
      <w:r w:rsidR="00B7726C">
        <w:rPr>
          <w:rFonts w:ascii="Verdana" w:hAnsi="Verdana"/>
          <w:sz w:val="20"/>
          <w:szCs w:val="20"/>
          <w:lang w:eastAsia="nl-NL"/>
        </w:rPr>
        <w:t>, waarnaar de werkgever vervolgens de indeling vaststelt</w:t>
      </w:r>
      <w:r w:rsidR="00D87A34">
        <w:rPr>
          <w:rFonts w:ascii="Verdana" w:hAnsi="Verdana"/>
          <w:sz w:val="20"/>
          <w:szCs w:val="20"/>
          <w:lang w:eastAsia="nl-NL"/>
        </w:rPr>
        <w:t>. Tot slot kan de werknemer, zoals dat nu ook het geval is, een bezwaar indienen bij de LBC-FWG indien de werknemer bezwaar houdt tegen de indeling.</w:t>
      </w:r>
    </w:p>
    <w:p w14:paraId="1FF9AA8E" w14:textId="633322E7" w:rsidR="00011827" w:rsidRDefault="008F1FC7" w:rsidP="00461D21">
      <w:pPr>
        <w:spacing w:before="100" w:beforeAutospacing="1" w:after="100" w:afterAutospacing="1"/>
        <w:rPr>
          <w:rFonts w:ascii="Verdana" w:hAnsi="Verdana"/>
          <w:sz w:val="20"/>
          <w:szCs w:val="20"/>
          <w:lang w:eastAsia="nl-NL"/>
        </w:rPr>
      </w:pPr>
      <w:r>
        <w:rPr>
          <w:rFonts w:ascii="Verdana" w:hAnsi="Verdana"/>
          <w:sz w:val="20"/>
          <w:szCs w:val="20"/>
          <w:lang w:eastAsia="nl-NL"/>
        </w:rPr>
        <w:t>In sommige situaties kan</w:t>
      </w:r>
      <w:r w:rsidR="000269F5">
        <w:rPr>
          <w:rFonts w:ascii="Verdana" w:hAnsi="Verdana"/>
          <w:sz w:val="20"/>
          <w:szCs w:val="20"/>
          <w:lang w:eastAsia="nl-NL"/>
        </w:rPr>
        <w:t xml:space="preserve"> een functie </w:t>
      </w:r>
      <w:r>
        <w:rPr>
          <w:rFonts w:ascii="Verdana" w:hAnsi="Verdana"/>
          <w:sz w:val="20"/>
          <w:szCs w:val="20"/>
          <w:lang w:eastAsia="nl-NL"/>
        </w:rPr>
        <w:t xml:space="preserve">naar het oordeel van de FWG-helpdesk </w:t>
      </w:r>
      <w:r w:rsidR="000269F5">
        <w:rPr>
          <w:rFonts w:ascii="Verdana" w:hAnsi="Verdana"/>
          <w:sz w:val="20"/>
          <w:szCs w:val="20"/>
          <w:lang w:eastAsia="nl-NL"/>
        </w:rPr>
        <w:t>niet worden ingedeeld met FWG Gehandicaptenzorg.</w:t>
      </w:r>
      <w:r w:rsidR="0094313C">
        <w:rPr>
          <w:rFonts w:ascii="Verdana" w:hAnsi="Verdana"/>
          <w:sz w:val="20"/>
          <w:szCs w:val="20"/>
          <w:lang w:eastAsia="nl-NL"/>
        </w:rPr>
        <w:t xml:space="preserve"> </w:t>
      </w:r>
      <w:r w:rsidR="000269F5">
        <w:rPr>
          <w:rFonts w:ascii="Verdana" w:hAnsi="Verdana"/>
          <w:sz w:val="20"/>
          <w:szCs w:val="20"/>
          <w:lang w:eastAsia="nl-NL"/>
        </w:rPr>
        <w:t xml:space="preserve">Indien dit zo is dan geldt de </w:t>
      </w:r>
      <w:r>
        <w:rPr>
          <w:rFonts w:ascii="Verdana" w:hAnsi="Verdana"/>
          <w:sz w:val="20"/>
          <w:szCs w:val="20"/>
          <w:lang w:eastAsia="nl-NL"/>
        </w:rPr>
        <w:t>wijzigings</w:t>
      </w:r>
      <w:r w:rsidR="000269F5">
        <w:rPr>
          <w:rFonts w:ascii="Verdana" w:hAnsi="Verdana"/>
          <w:sz w:val="20"/>
          <w:szCs w:val="20"/>
          <w:lang w:eastAsia="nl-NL"/>
        </w:rPr>
        <w:t>procedur</w:t>
      </w:r>
      <w:r>
        <w:rPr>
          <w:rFonts w:ascii="Verdana" w:hAnsi="Verdana"/>
          <w:sz w:val="20"/>
          <w:szCs w:val="20"/>
          <w:lang w:eastAsia="nl-NL"/>
        </w:rPr>
        <w:t xml:space="preserve">e zoals opgenomen in </w:t>
      </w:r>
      <w:r w:rsidRPr="00764680">
        <w:rPr>
          <w:rFonts w:ascii="Verdana" w:hAnsi="Verdana"/>
          <w:i/>
          <w:sz w:val="20"/>
          <w:szCs w:val="20"/>
          <w:lang w:eastAsia="nl-NL"/>
        </w:rPr>
        <w:t>artikel 5</w:t>
      </w:r>
      <w:r>
        <w:rPr>
          <w:rFonts w:ascii="Verdana" w:hAnsi="Verdana"/>
          <w:sz w:val="20"/>
          <w:szCs w:val="20"/>
          <w:lang w:eastAsia="nl-NL"/>
        </w:rPr>
        <w:t>. Bij deze procedure verstrekt de FWG-helpdesk de werkgever</w:t>
      </w:r>
      <w:r w:rsidR="00764680">
        <w:rPr>
          <w:rFonts w:ascii="Verdana" w:hAnsi="Verdana"/>
          <w:sz w:val="20"/>
          <w:szCs w:val="20"/>
          <w:lang w:eastAsia="nl-NL"/>
        </w:rPr>
        <w:t xml:space="preserve"> </w:t>
      </w:r>
      <w:r>
        <w:rPr>
          <w:rFonts w:ascii="Verdana" w:hAnsi="Verdana"/>
          <w:sz w:val="20"/>
          <w:szCs w:val="20"/>
          <w:lang w:eastAsia="nl-NL"/>
        </w:rPr>
        <w:t>een gemotiveerd schriftelijk helpdeskadvies</w:t>
      </w:r>
      <w:r w:rsidR="00575364">
        <w:rPr>
          <w:rFonts w:ascii="Verdana" w:hAnsi="Verdana"/>
          <w:sz w:val="20"/>
          <w:szCs w:val="20"/>
          <w:lang w:eastAsia="nl-NL"/>
        </w:rPr>
        <w:t xml:space="preserve"> op basis van toepassing FWG 3.0. Dit advies is niet bindend. De werknemer ontvangt vervolgens de functiebeschrijving en indeling plus het helpdeskadvies van de werkgever. De werknemer kan ook nu bezwaar maken tegen de functiebeschrijving en/of indeling.</w:t>
      </w:r>
      <w:r w:rsidR="00B7726C">
        <w:rPr>
          <w:rFonts w:ascii="Verdana" w:hAnsi="Verdana"/>
          <w:sz w:val="20"/>
          <w:szCs w:val="20"/>
          <w:lang w:eastAsia="nl-NL"/>
        </w:rPr>
        <w:t xml:space="preserve"> I</w:t>
      </w:r>
      <w:r w:rsidR="00011827">
        <w:rPr>
          <w:rFonts w:ascii="Verdana" w:hAnsi="Verdana"/>
          <w:sz w:val="20"/>
          <w:szCs w:val="20"/>
          <w:lang w:eastAsia="nl-NL"/>
        </w:rPr>
        <w:t xml:space="preserve">ndien naar aanleiding van het bezwaar de functiebeschrijving wordt gewijzigd, vraagt de werkgever een nieuw helpdeskadvies aan de FWG-helpdesk. Ook dit advies is niet bindend. Vervolgens wordt de indeling door de werkgever opnieuw vastgesteld. Indien de werknemer bezwaar heeft tegen de indeling, kan de werknemer bezwaar indienen bij de LBC-FWG. </w:t>
      </w:r>
      <w:r w:rsidR="000269F5">
        <w:rPr>
          <w:rFonts w:ascii="Verdana" w:hAnsi="Verdana"/>
          <w:sz w:val="20"/>
          <w:szCs w:val="20"/>
          <w:lang w:eastAsia="nl-NL"/>
        </w:rPr>
        <w:t xml:space="preserve">Aangezien de IBC-FWG geen inzage meer </w:t>
      </w:r>
      <w:r w:rsidR="00575364">
        <w:rPr>
          <w:rFonts w:ascii="Verdana" w:hAnsi="Verdana"/>
          <w:sz w:val="20"/>
          <w:szCs w:val="20"/>
          <w:lang w:eastAsia="nl-NL"/>
        </w:rPr>
        <w:t>heeft</w:t>
      </w:r>
      <w:r w:rsidR="000269F5">
        <w:rPr>
          <w:rFonts w:ascii="Verdana" w:hAnsi="Verdana"/>
          <w:sz w:val="20"/>
          <w:szCs w:val="20"/>
          <w:lang w:eastAsia="nl-NL"/>
        </w:rPr>
        <w:t xml:space="preserve"> in FWG 3.0 kan de IBC-FWG, bij een bezwaar tegen de indeling, geen advies meer uitbrengen over dit bezwaar. </w:t>
      </w:r>
    </w:p>
    <w:p w14:paraId="4810CDB2" w14:textId="77777777" w:rsidR="00893B42" w:rsidRDefault="00893B42" w:rsidP="00011827">
      <w:pPr>
        <w:rPr>
          <w:rFonts w:ascii="Verdana" w:hAnsi="Verdana"/>
          <w:sz w:val="20"/>
          <w:szCs w:val="20"/>
          <w:lang w:eastAsia="nl-NL"/>
        </w:rPr>
      </w:pPr>
      <w:r>
        <w:rPr>
          <w:rFonts w:ascii="Verdana" w:hAnsi="Verdana"/>
          <w:sz w:val="20"/>
          <w:szCs w:val="20"/>
          <w:lang w:eastAsia="nl-NL"/>
        </w:rPr>
        <w:lastRenderedPageBreak/>
        <w:t xml:space="preserve">De gevolgen voor het salaris na een wijziging van de indeling vindt u terug in artikel 4:14 </w:t>
      </w:r>
      <w:r w:rsidR="00AA52B9">
        <w:rPr>
          <w:rFonts w:ascii="Verdana" w:hAnsi="Verdana"/>
          <w:sz w:val="20"/>
          <w:szCs w:val="20"/>
          <w:lang w:eastAsia="nl-NL"/>
        </w:rPr>
        <w:t xml:space="preserve">CAO </w:t>
      </w:r>
      <w:r>
        <w:rPr>
          <w:rFonts w:ascii="Verdana" w:hAnsi="Verdana"/>
          <w:sz w:val="20"/>
          <w:szCs w:val="20"/>
          <w:lang w:eastAsia="nl-NL"/>
        </w:rPr>
        <w:t xml:space="preserve">(van toepassing vanaf invoering FWG Gehandicaptenzorg per 1 april 2018). </w:t>
      </w:r>
    </w:p>
    <w:p w14:paraId="47B003C6" w14:textId="77777777" w:rsidR="000269F5" w:rsidRPr="00AA52B9" w:rsidRDefault="000269F5" w:rsidP="00A33AB5">
      <w:pPr>
        <w:spacing w:before="100" w:beforeAutospacing="1"/>
        <w:rPr>
          <w:rFonts w:ascii="Verdana" w:hAnsi="Verdana"/>
          <w:i/>
          <w:iCs/>
          <w:sz w:val="20"/>
          <w:szCs w:val="20"/>
          <w:lang w:eastAsia="nl-NL"/>
        </w:rPr>
      </w:pPr>
      <w:r w:rsidRPr="00AA52B9">
        <w:rPr>
          <w:rFonts w:ascii="Verdana" w:hAnsi="Verdana"/>
          <w:bCs/>
          <w:i/>
          <w:sz w:val="20"/>
          <w:szCs w:val="20"/>
          <w:lang w:eastAsia="nl-NL"/>
        </w:rPr>
        <w:t>Regionale Bezwaren Commissie (RBC-FWG)</w:t>
      </w:r>
    </w:p>
    <w:p w14:paraId="468DA22A" w14:textId="77777777" w:rsidR="000269F5" w:rsidRDefault="000269F5" w:rsidP="00A33AB5">
      <w:pPr>
        <w:rPr>
          <w:rFonts w:ascii="Verdana" w:hAnsi="Verdana"/>
          <w:sz w:val="20"/>
          <w:szCs w:val="20"/>
          <w:lang w:eastAsia="nl-NL"/>
        </w:rPr>
      </w:pPr>
      <w:r>
        <w:rPr>
          <w:rFonts w:ascii="Verdana" w:hAnsi="Verdana"/>
          <w:sz w:val="20"/>
          <w:szCs w:val="20"/>
          <w:lang w:eastAsia="nl-NL"/>
        </w:rPr>
        <w:t>Nieuw is de mogelijkheid om, in samenwerking met andere werkgevers, een Regionale Bezwaren Commissie (RBC-FWG) in te stellen in plaats van een IBC-FWG. De ondernemingsraad of personeelsvertegenwoordiging moeten wel met dit besluit instemmen. Als gekozen wordt voor een RBC-FWG zijn de bepaling uit bijlage 4, die gelden voor een IBC-FWG, ook van toepassing op de RBC-FWG.</w:t>
      </w:r>
    </w:p>
    <w:p w14:paraId="4292F9ED" w14:textId="77777777" w:rsidR="00461D21" w:rsidRDefault="00461D21" w:rsidP="000269F5">
      <w:pPr>
        <w:rPr>
          <w:rFonts w:ascii="Verdana" w:hAnsi="Verdana"/>
          <w:b/>
          <w:bCs/>
          <w:sz w:val="20"/>
          <w:szCs w:val="20"/>
          <w:lang w:eastAsia="nl-NL"/>
        </w:rPr>
      </w:pPr>
    </w:p>
    <w:p w14:paraId="1B8ADCAE" w14:textId="77777777" w:rsidR="00461D21" w:rsidRPr="00AA52B9" w:rsidRDefault="00461D21" w:rsidP="000269F5">
      <w:pPr>
        <w:rPr>
          <w:rFonts w:ascii="Verdana" w:hAnsi="Verdana"/>
          <w:bCs/>
          <w:i/>
          <w:sz w:val="20"/>
          <w:szCs w:val="20"/>
          <w:lang w:eastAsia="nl-NL"/>
        </w:rPr>
      </w:pPr>
      <w:r w:rsidRPr="00AA52B9">
        <w:rPr>
          <w:rFonts w:ascii="Verdana" w:hAnsi="Verdana"/>
          <w:bCs/>
          <w:i/>
          <w:sz w:val="20"/>
          <w:szCs w:val="20"/>
          <w:lang w:eastAsia="nl-NL"/>
        </w:rPr>
        <w:t>Afwijkende termijnen</w:t>
      </w:r>
    </w:p>
    <w:p w14:paraId="3940C20C" w14:textId="5B5C3CC8" w:rsidR="00461D21" w:rsidRDefault="002B522F" w:rsidP="000269F5">
      <w:pPr>
        <w:rPr>
          <w:rFonts w:ascii="Verdana" w:hAnsi="Verdana"/>
          <w:bCs/>
          <w:sz w:val="20"/>
          <w:szCs w:val="20"/>
          <w:lang w:eastAsia="nl-NL"/>
        </w:rPr>
      </w:pPr>
      <w:r>
        <w:rPr>
          <w:rFonts w:ascii="Verdana" w:hAnsi="Verdana"/>
          <w:bCs/>
          <w:sz w:val="20"/>
          <w:szCs w:val="20"/>
          <w:lang w:eastAsia="nl-NL"/>
        </w:rPr>
        <w:t>In de artikelen 3,</w:t>
      </w:r>
      <w:r w:rsidR="00153FCA">
        <w:rPr>
          <w:rFonts w:ascii="Verdana" w:hAnsi="Verdana"/>
          <w:bCs/>
          <w:sz w:val="20"/>
          <w:szCs w:val="20"/>
          <w:lang w:eastAsia="nl-NL"/>
        </w:rPr>
        <w:t xml:space="preserve"> </w:t>
      </w:r>
      <w:r>
        <w:rPr>
          <w:rFonts w:ascii="Verdana" w:hAnsi="Verdana"/>
          <w:bCs/>
          <w:sz w:val="20"/>
          <w:szCs w:val="20"/>
          <w:lang w:eastAsia="nl-NL"/>
        </w:rPr>
        <w:t>4 en 5 worden diverse termijnen genoemd die toegepast moeten worden</w:t>
      </w:r>
      <w:r w:rsidR="00153FCA">
        <w:rPr>
          <w:rFonts w:ascii="Verdana" w:hAnsi="Verdana"/>
          <w:bCs/>
          <w:sz w:val="20"/>
          <w:szCs w:val="20"/>
          <w:lang w:eastAsia="nl-NL"/>
        </w:rPr>
        <w:t xml:space="preserve">, zoals bijvoorbeeld termijnen voor het indienen van bezwaar bij de werkgever en termijnen waarbij de werkgever advies moet vragen bij de IBC-FWG over het bezwaar van de werknemer. </w:t>
      </w:r>
      <w:r>
        <w:rPr>
          <w:rFonts w:ascii="Verdana" w:hAnsi="Verdana"/>
          <w:bCs/>
          <w:sz w:val="20"/>
          <w:szCs w:val="20"/>
          <w:lang w:eastAsia="nl-NL"/>
        </w:rPr>
        <w:t>Deze termijnen kunnen echter gewijzigd worden mits de ondernemingsraad of de personeelsvertegenwoordiging hiermee instemt.</w:t>
      </w:r>
    </w:p>
    <w:p w14:paraId="0461211A" w14:textId="77777777" w:rsidR="002B522F" w:rsidRDefault="002B522F" w:rsidP="000269F5">
      <w:pPr>
        <w:rPr>
          <w:rFonts w:ascii="Verdana" w:hAnsi="Verdana"/>
          <w:bCs/>
          <w:sz w:val="20"/>
          <w:szCs w:val="20"/>
          <w:lang w:eastAsia="nl-NL"/>
        </w:rPr>
      </w:pPr>
      <w:r>
        <w:rPr>
          <w:rFonts w:ascii="Verdana" w:hAnsi="Verdana"/>
          <w:bCs/>
          <w:sz w:val="20"/>
          <w:szCs w:val="20"/>
          <w:lang w:eastAsia="nl-NL"/>
        </w:rPr>
        <w:t xml:space="preserve">Van de termijn voor het instellen van bezwaar bij de LBC-FWG kan niet worden afgeweken. </w:t>
      </w:r>
    </w:p>
    <w:p w14:paraId="1D3F94A6" w14:textId="77777777" w:rsidR="00461D21" w:rsidRPr="00461D21" w:rsidRDefault="00461D21" w:rsidP="000269F5">
      <w:pPr>
        <w:rPr>
          <w:rFonts w:ascii="Verdana" w:hAnsi="Verdana"/>
          <w:bCs/>
          <w:sz w:val="20"/>
          <w:szCs w:val="20"/>
          <w:lang w:eastAsia="nl-NL"/>
        </w:rPr>
      </w:pPr>
    </w:p>
    <w:p w14:paraId="2B36729B" w14:textId="77777777" w:rsidR="000269F5" w:rsidRPr="00AA52B9" w:rsidRDefault="000269F5" w:rsidP="000269F5">
      <w:pPr>
        <w:rPr>
          <w:rFonts w:ascii="Verdana" w:hAnsi="Verdana"/>
          <w:bCs/>
          <w:i/>
          <w:sz w:val="20"/>
          <w:szCs w:val="20"/>
          <w:lang w:eastAsia="nl-NL"/>
        </w:rPr>
      </w:pPr>
      <w:r w:rsidRPr="00AA52B9">
        <w:rPr>
          <w:rFonts w:ascii="Verdana" w:hAnsi="Verdana"/>
          <w:bCs/>
          <w:i/>
          <w:sz w:val="20"/>
          <w:szCs w:val="20"/>
          <w:lang w:eastAsia="nl-NL"/>
        </w:rPr>
        <w:t>Landelijke Bezwaren Commissie (LBC-FWG)</w:t>
      </w:r>
    </w:p>
    <w:p w14:paraId="62D77707" w14:textId="6D746373" w:rsidR="000269F5" w:rsidRDefault="000269F5" w:rsidP="000269F5">
      <w:pPr>
        <w:rPr>
          <w:rFonts w:ascii="Verdana" w:hAnsi="Verdana"/>
          <w:sz w:val="20"/>
          <w:szCs w:val="20"/>
          <w:lang w:eastAsia="nl-NL"/>
        </w:rPr>
      </w:pPr>
      <w:r>
        <w:rPr>
          <w:rFonts w:ascii="Verdana" w:hAnsi="Verdana"/>
          <w:sz w:val="20"/>
          <w:szCs w:val="20"/>
          <w:lang w:eastAsia="nl-NL"/>
        </w:rPr>
        <w:t xml:space="preserve">In de bepalingen over de LBC-FWG is inhoudelijk niets veranderd. De samenstelling, werkwijze en financiering van de LBC-FWG </w:t>
      </w:r>
      <w:r w:rsidR="00E87C8A">
        <w:rPr>
          <w:rFonts w:ascii="Verdana" w:hAnsi="Verdana"/>
          <w:sz w:val="20"/>
          <w:szCs w:val="20"/>
          <w:lang w:eastAsia="nl-NL"/>
        </w:rPr>
        <w:t xml:space="preserve">zijn </w:t>
      </w:r>
      <w:r>
        <w:rPr>
          <w:rFonts w:ascii="Verdana" w:hAnsi="Verdana"/>
          <w:sz w:val="20"/>
          <w:szCs w:val="20"/>
          <w:lang w:eastAsia="nl-NL"/>
        </w:rPr>
        <w:t xml:space="preserve">door CAO-partijen vastgesteld in een reglement. Dit reglement is in te zien op de </w:t>
      </w:r>
      <w:hyperlink r:id="rId5" w:history="1">
        <w:r>
          <w:rPr>
            <w:rStyle w:val="Hyperlink"/>
            <w:rFonts w:ascii="Verdana" w:hAnsi="Verdana"/>
            <w:sz w:val="20"/>
            <w:szCs w:val="20"/>
            <w:lang w:eastAsia="nl-NL"/>
          </w:rPr>
          <w:t>website</w:t>
        </w:r>
      </w:hyperlink>
      <w:r w:rsidR="00461D21">
        <w:rPr>
          <w:rFonts w:ascii="Verdana" w:hAnsi="Verdana"/>
          <w:sz w:val="20"/>
          <w:szCs w:val="20"/>
          <w:lang w:eastAsia="nl-NL"/>
        </w:rPr>
        <w:t xml:space="preserve"> van de VGN.</w:t>
      </w:r>
    </w:p>
    <w:p w14:paraId="7EFE35C2" w14:textId="77777777" w:rsidR="00461D21" w:rsidRDefault="00461D21" w:rsidP="000269F5">
      <w:pPr>
        <w:rPr>
          <w:rFonts w:ascii="Verdana" w:hAnsi="Verdana"/>
          <w:b/>
          <w:bCs/>
          <w:sz w:val="20"/>
          <w:szCs w:val="20"/>
          <w:lang w:eastAsia="nl-NL"/>
        </w:rPr>
      </w:pPr>
    </w:p>
    <w:p w14:paraId="79615B18" w14:textId="77777777" w:rsidR="00461D21" w:rsidRPr="00AA52B9" w:rsidRDefault="00053A43" w:rsidP="00461D21">
      <w:pPr>
        <w:rPr>
          <w:rFonts w:ascii="Verdana" w:hAnsi="Verdana"/>
          <w:bCs/>
          <w:i/>
          <w:sz w:val="20"/>
          <w:szCs w:val="20"/>
          <w:lang w:eastAsia="nl-NL"/>
        </w:rPr>
      </w:pPr>
      <w:r w:rsidRPr="00AA52B9">
        <w:rPr>
          <w:rFonts w:ascii="Verdana" w:hAnsi="Verdana"/>
          <w:bCs/>
          <w:i/>
          <w:sz w:val="20"/>
          <w:szCs w:val="20"/>
          <w:lang w:eastAsia="nl-NL"/>
        </w:rPr>
        <w:t>K</w:t>
      </w:r>
      <w:r w:rsidR="00461D21" w:rsidRPr="00AA52B9">
        <w:rPr>
          <w:rFonts w:ascii="Verdana" w:hAnsi="Verdana"/>
          <w:bCs/>
          <w:i/>
          <w:sz w:val="20"/>
          <w:szCs w:val="20"/>
          <w:lang w:eastAsia="nl-NL"/>
        </w:rPr>
        <w:t>waliteitseisen</w:t>
      </w:r>
      <w:r w:rsidRPr="00AA52B9">
        <w:rPr>
          <w:rFonts w:ascii="Verdana" w:hAnsi="Verdana"/>
          <w:bCs/>
          <w:i/>
          <w:sz w:val="20"/>
          <w:szCs w:val="20"/>
          <w:lang w:eastAsia="nl-NL"/>
        </w:rPr>
        <w:t xml:space="preserve"> functiebeschrijvingen</w:t>
      </w:r>
    </w:p>
    <w:p w14:paraId="26F09F3B" w14:textId="77777777" w:rsidR="000269F5" w:rsidRPr="00053A43" w:rsidRDefault="002C389E" w:rsidP="00461D21">
      <w:pPr>
        <w:rPr>
          <w:rFonts w:ascii="Verdana" w:hAnsi="Verdana"/>
          <w:bCs/>
          <w:sz w:val="20"/>
          <w:szCs w:val="20"/>
          <w:lang w:eastAsia="nl-NL"/>
        </w:rPr>
      </w:pPr>
      <w:r w:rsidRPr="00053A43">
        <w:rPr>
          <w:rFonts w:ascii="Verdana" w:hAnsi="Verdana"/>
          <w:sz w:val="20"/>
          <w:szCs w:val="20"/>
        </w:rPr>
        <w:t xml:space="preserve">Het beschrijven van functies zoals dat gebruikelijk is voor FWG 3.0, blijft onveranderd met de komst van FWG Gehandicaptenzorg. U beschrijft de functie aan de hand van de negen gezichtspunten. </w:t>
      </w:r>
      <w:r w:rsidR="00053A43" w:rsidRPr="00053A43">
        <w:rPr>
          <w:rFonts w:ascii="Verdana" w:hAnsi="Verdana"/>
          <w:sz w:val="20"/>
          <w:szCs w:val="20"/>
        </w:rPr>
        <w:t xml:space="preserve">In de CAO vindt u de kwaliteitseisen die gesteld worden aan functiebeschrijvingen en de wijze van het beschrijven van functies. </w:t>
      </w:r>
      <w:r w:rsidR="00053A43" w:rsidRPr="00053A43">
        <w:rPr>
          <w:rFonts w:ascii="Verdana" w:hAnsi="Verdana"/>
          <w:bCs/>
          <w:sz w:val="20"/>
          <w:szCs w:val="20"/>
          <w:lang w:eastAsia="nl-NL"/>
        </w:rPr>
        <w:t>Op</w:t>
      </w:r>
      <w:r w:rsidR="00461D21" w:rsidRPr="00053A43">
        <w:rPr>
          <w:rFonts w:ascii="Verdana" w:hAnsi="Verdana"/>
          <w:bCs/>
          <w:sz w:val="20"/>
          <w:szCs w:val="20"/>
          <w:lang w:eastAsia="nl-NL"/>
        </w:rPr>
        <w:t xml:space="preserve"> de </w:t>
      </w:r>
      <w:hyperlink r:id="rId6" w:history="1">
        <w:r w:rsidR="00461D21" w:rsidRPr="00053A43">
          <w:rPr>
            <w:rStyle w:val="Hyperlink"/>
            <w:rFonts w:ascii="Verdana" w:hAnsi="Verdana"/>
            <w:sz w:val="20"/>
            <w:szCs w:val="20"/>
            <w:lang w:eastAsia="nl-NL"/>
          </w:rPr>
          <w:t>website</w:t>
        </w:r>
      </w:hyperlink>
      <w:r w:rsidR="00461D21" w:rsidRPr="00053A43">
        <w:rPr>
          <w:rFonts w:ascii="Verdana" w:hAnsi="Verdana"/>
          <w:bCs/>
          <w:sz w:val="20"/>
          <w:szCs w:val="20"/>
          <w:lang w:eastAsia="nl-NL"/>
        </w:rPr>
        <w:t xml:space="preserve"> van de VGN </w:t>
      </w:r>
      <w:r w:rsidR="00053A43" w:rsidRPr="00053A43">
        <w:rPr>
          <w:rFonts w:ascii="Verdana" w:hAnsi="Verdana"/>
          <w:bCs/>
          <w:sz w:val="20"/>
          <w:szCs w:val="20"/>
          <w:lang w:eastAsia="nl-NL"/>
        </w:rPr>
        <w:t xml:space="preserve">vindt u </w:t>
      </w:r>
      <w:r w:rsidR="00461D21" w:rsidRPr="00053A43">
        <w:rPr>
          <w:rFonts w:ascii="Verdana" w:hAnsi="Verdana"/>
          <w:bCs/>
          <w:sz w:val="20"/>
          <w:szCs w:val="20"/>
          <w:lang w:eastAsia="nl-NL"/>
        </w:rPr>
        <w:t>een toelichting op de k</w:t>
      </w:r>
      <w:r w:rsidR="000269F5" w:rsidRPr="00053A43">
        <w:rPr>
          <w:rFonts w:ascii="Verdana" w:hAnsi="Verdana"/>
          <w:bCs/>
          <w:sz w:val="20"/>
          <w:szCs w:val="20"/>
          <w:lang w:eastAsia="nl-NL"/>
        </w:rPr>
        <w:t>waliteitseisen</w:t>
      </w:r>
      <w:r w:rsidR="00053A43" w:rsidRPr="00053A43">
        <w:rPr>
          <w:rFonts w:ascii="Verdana" w:hAnsi="Verdana"/>
          <w:bCs/>
          <w:sz w:val="20"/>
          <w:szCs w:val="20"/>
          <w:lang w:eastAsia="nl-NL"/>
        </w:rPr>
        <w:t>.</w:t>
      </w:r>
      <w:r w:rsidR="000269F5" w:rsidRPr="00053A43">
        <w:rPr>
          <w:rFonts w:ascii="Verdana" w:hAnsi="Verdana"/>
          <w:bCs/>
          <w:sz w:val="20"/>
          <w:szCs w:val="20"/>
          <w:lang w:eastAsia="nl-NL"/>
        </w:rPr>
        <w:t xml:space="preserve"> </w:t>
      </w:r>
    </w:p>
    <w:p w14:paraId="7819697B" w14:textId="77777777" w:rsidR="00A33AB5" w:rsidRDefault="00A33AB5">
      <w:pPr>
        <w:rPr>
          <w:rFonts w:ascii="Verdana" w:hAnsi="Verdana"/>
          <w:b/>
          <w:sz w:val="20"/>
          <w:szCs w:val="20"/>
        </w:rPr>
      </w:pPr>
    </w:p>
    <w:p w14:paraId="0346F5BC" w14:textId="4BE90A6E" w:rsidR="00461D21" w:rsidRDefault="00461D21">
      <w:pPr>
        <w:rPr>
          <w:rFonts w:ascii="Verdana" w:hAnsi="Verdana"/>
          <w:sz w:val="20"/>
          <w:szCs w:val="20"/>
        </w:rPr>
      </w:pPr>
      <w:bookmarkStart w:id="0" w:name="_GoBack"/>
      <w:bookmarkEnd w:id="0"/>
    </w:p>
    <w:p w14:paraId="544DD383" w14:textId="16B36934" w:rsidR="00AA52B9" w:rsidRPr="00461D21" w:rsidRDefault="00AA52B9">
      <w:pPr>
        <w:rPr>
          <w:rFonts w:ascii="Verdana" w:hAnsi="Verdana"/>
          <w:sz w:val="20"/>
          <w:szCs w:val="20"/>
        </w:rPr>
      </w:pPr>
    </w:p>
    <w:sectPr w:rsidR="00AA52B9" w:rsidRPr="00461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F5"/>
    <w:rsid w:val="00005AE1"/>
    <w:rsid w:val="00011827"/>
    <w:rsid w:val="000269F5"/>
    <w:rsid w:val="00053A43"/>
    <w:rsid w:val="000929E0"/>
    <w:rsid w:val="000F7B94"/>
    <w:rsid w:val="00113010"/>
    <w:rsid w:val="00117A1C"/>
    <w:rsid w:val="001325E3"/>
    <w:rsid w:val="00153FCA"/>
    <w:rsid w:val="002B522F"/>
    <w:rsid w:val="002C389E"/>
    <w:rsid w:val="003E78E9"/>
    <w:rsid w:val="00445A01"/>
    <w:rsid w:val="00461D21"/>
    <w:rsid w:val="0049406A"/>
    <w:rsid w:val="00575364"/>
    <w:rsid w:val="005F102B"/>
    <w:rsid w:val="00647A61"/>
    <w:rsid w:val="0073623A"/>
    <w:rsid w:val="00764680"/>
    <w:rsid w:val="007B2559"/>
    <w:rsid w:val="00893B42"/>
    <w:rsid w:val="008F1FC7"/>
    <w:rsid w:val="009318AB"/>
    <w:rsid w:val="0094313C"/>
    <w:rsid w:val="00A33AB5"/>
    <w:rsid w:val="00A430AC"/>
    <w:rsid w:val="00A81732"/>
    <w:rsid w:val="00AA52B9"/>
    <w:rsid w:val="00AA6F6D"/>
    <w:rsid w:val="00B7726C"/>
    <w:rsid w:val="00BD53A0"/>
    <w:rsid w:val="00C02179"/>
    <w:rsid w:val="00CB46CC"/>
    <w:rsid w:val="00D70A9E"/>
    <w:rsid w:val="00D87A34"/>
    <w:rsid w:val="00DF4944"/>
    <w:rsid w:val="00E17F26"/>
    <w:rsid w:val="00E87C8A"/>
    <w:rsid w:val="00EF7334"/>
    <w:rsid w:val="00F25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D1EA"/>
  <w15:chartTrackingRefBased/>
  <w15:docId w15:val="{87792FC5-192F-4FD1-B8CB-160ACFC1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269F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269F5"/>
    <w:rPr>
      <w:color w:val="0563C1"/>
      <w:u w:val="single"/>
    </w:rPr>
  </w:style>
  <w:style w:type="character" w:styleId="Onopgelostemelding">
    <w:name w:val="Unresolved Mention"/>
    <w:basedOn w:val="Standaardalinea-lettertype"/>
    <w:uiPriority w:val="99"/>
    <w:semiHidden/>
    <w:unhideWhenUsed/>
    <w:rsid w:val="000269F5"/>
    <w:rPr>
      <w:color w:val="808080"/>
      <w:shd w:val="clear" w:color="auto" w:fill="E6E6E6"/>
    </w:rPr>
  </w:style>
  <w:style w:type="character" w:styleId="GevolgdeHyperlink">
    <w:name w:val="FollowedHyperlink"/>
    <w:basedOn w:val="Standaardalinea-lettertype"/>
    <w:uiPriority w:val="99"/>
    <w:semiHidden/>
    <w:unhideWhenUsed/>
    <w:rsid w:val="002C389E"/>
    <w:rPr>
      <w:color w:val="954F72" w:themeColor="followedHyperlink"/>
      <w:u w:val="single"/>
    </w:rPr>
  </w:style>
  <w:style w:type="character" w:styleId="Verwijzingopmerking">
    <w:name w:val="annotation reference"/>
    <w:basedOn w:val="Standaardalinea-lettertype"/>
    <w:uiPriority w:val="99"/>
    <w:semiHidden/>
    <w:unhideWhenUsed/>
    <w:rsid w:val="00D70A9E"/>
    <w:rPr>
      <w:sz w:val="16"/>
      <w:szCs w:val="16"/>
    </w:rPr>
  </w:style>
  <w:style w:type="paragraph" w:styleId="Tekstopmerking">
    <w:name w:val="annotation text"/>
    <w:basedOn w:val="Standaard"/>
    <w:link w:val="TekstopmerkingChar"/>
    <w:uiPriority w:val="99"/>
    <w:semiHidden/>
    <w:unhideWhenUsed/>
    <w:rsid w:val="00D70A9E"/>
    <w:rPr>
      <w:sz w:val="20"/>
      <w:szCs w:val="20"/>
    </w:rPr>
  </w:style>
  <w:style w:type="character" w:customStyle="1" w:styleId="TekstopmerkingChar">
    <w:name w:val="Tekst opmerking Char"/>
    <w:basedOn w:val="Standaardalinea-lettertype"/>
    <w:link w:val="Tekstopmerking"/>
    <w:uiPriority w:val="99"/>
    <w:semiHidden/>
    <w:rsid w:val="00D70A9E"/>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D70A9E"/>
    <w:rPr>
      <w:b/>
      <w:bCs/>
    </w:rPr>
  </w:style>
  <w:style w:type="character" w:customStyle="1" w:styleId="OnderwerpvanopmerkingChar">
    <w:name w:val="Onderwerp van opmerking Char"/>
    <w:basedOn w:val="TekstopmerkingChar"/>
    <w:link w:val="Onderwerpvanopmerking"/>
    <w:uiPriority w:val="99"/>
    <w:semiHidden/>
    <w:rsid w:val="00D70A9E"/>
    <w:rPr>
      <w:rFonts w:ascii="Calibri" w:hAnsi="Calibri" w:cs="Calibri"/>
      <w:b/>
      <w:bCs/>
      <w:sz w:val="20"/>
      <w:szCs w:val="20"/>
    </w:rPr>
  </w:style>
  <w:style w:type="paragraph" w:styleId="Ballontekst">
    <w:name w:val="Balloon Text"/>
    <w:basedOn w:val="Standaard"/>
    <w:link w:val="BallontekstChar"/>
    <w:uiPriority w:val="99"/>
    <w:semiHidden/>
    <w:unhideWhenUsed/>
    <w:rsid w:val="00D70A9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0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gn.nl/artikel/25866" TargetMode="External"/><Relationship Id="rId5" Type="http://schemas.openxmlformats.org/officeDocument/2006/relationships/hyperlink" Target="http://www.vgn.nl/artikel/25865" TargetMode="External"/><Relationship Id="rId4" Type="http://schemas.openxmlformats.org/officeDocument/2006/relationships/hyperlink" Target="https://www.fwg.nl/gehandicaptenz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892</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Leemans</dc:creator>
  <cp:keywords/>
  <dc:description/>
  <cp:lastModifiedBy>Margo Leemans</cp:lastModifiedBy>
  <cp:revision>4</cp:revision>
  <dcterms:created xsi:type="dcterms:W3CDTF">2018-03-28T14:05:00Z</dcterms:created>
  <dcterms:modified xsi:type="dcterms:W3CDTF">2018-03-29T08:04:00Z</dcterms:modified>
</cp:coreProperties>
</file>