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C639" w14:textId="3E55595C" w:rsidR="00176A05" w:rsidRDefault="003D214E" w:rsidP="00B002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Overzicht </w:t>
      </w:r>
      <w:r w:rsidR="00DF1B9F">
        <w:rPr>
          <w:rFonts w:ascii="Arial" w:hAnsi="Arial" w:cs="Arial"/>
          <w:b/>
        </w:rPr>
        <w:t>gewijzigde CAO</w:t>
      </w:r>
      <w:r w:rsidR="00176A05">
        <w:rPr>
          <w:rFonts w:ascii="Arial" w:hAnsi="Arial" w:cs="Arial"/>
          <w:b/>
        </w:rPr>
        <w:t>-procedures voor toepassing functiewaardering</w:t>
      </w:r>
    </w:p>
    <w:p w14:paraId="61F556AA" w14:textId="06B591B4" w:rsidR="00176A05" w:rsidRDefault="00176A05" w:rsidP="00B002D3">
      <w:pPr>
        <w:spacing w:after="0"/>
        <w:jc w:val="center"/>
        <w:rPr>
          <w:rFonts w:ascii="Arial" w:hAnsi="Arial" w:cs="Arial"/>
          <w:sz w:val="20"/>
        </w:rPr>
      </w:pPr>
      <w:r w:rsidRPr="00176A05">
        <w:rPr>
          <w:rFonts w:ascii="Arial" w:hAnsi="Arial" w:cs="Arial"/>
          <w:sz w:val="20"/>
        </w:rPr>
        <w:t xml:space="preserve">Met de </w:t>
      </w:r>
      <w:r>
        <w:rPr>
          <w:rFonts w:ascii="Arial" w:hAnsi="Arial" w:cs="Arial"/>
          <w:sz w:val="20"/>
        </w:rPr>
        <w:t xml:space="preserve">introductie van FWG Gehandicaptenzorg per 1 april 2018 worden ook enkele </w:t>
      </w:r>
      <w:r w:rsidR="00DF1B9F">
        <w:rPr>
          <w:rFonts w:ascii="Arial" w:hAnsi="Arial" w:cs="Arial"/>
          <w:sz w:val="20"/>
        </w:rPr>
        <w:t>CAO</w:t>
      </w:r>
      <w:r w:rsidRPr="00176A05">
        <w:rPr>
          <w:rFonts w:ascii="Arial" w:hAnsi="Arial" w:cs="Arial"/>
          <w:sz w:val="20"/>
        </w:rPr>
        <w:t xml:space="preserve">-procedures voor toepassing </w:t>
      </w:r>
      <w:r>
        <w:rPr>
          <w:rFonts w:ascii="Arial" w:hAnsi="Arial" w:cs="Arial"/>
          <w:sz w:val="20"/>
        </w:rPr>
        <w:t xml:space="preserve">van </w:t>
      </w:r>
      <w:r w:rsidRPr="00176A05">
        <w:rPr>
          <w:rFonts w:ascii="Arial" w:hAnsi="Arial" w:cs="Arial"/>
          <w:sz w:val="20"/>
        </w:rPr>
        <w:t xml:space="preserve">functiewaardering </w:t>
      </w:r>
      <w:r>
        <w:rPr>
          <w:rFonts w:ascii="Arial" w:hAnsi="Arial" w:cs="Arial"/>
          <w:sz w:val="20"/>
        </w:rPr>
        <w:t>binnen de branche Gehandicaptenzorg aangepast.</w:t>
      </w:r>
    </w:p>
    <w:p w14:paraId="1C0AAF6C" w14:textId="77777777" w:rsidR="00176A05" w:rsidRDefault="00176A05" w:rsidP="00B002D3">
      <w:pPr>
        <w:spacing w:after="0"/>
        <w:jc w:val="center"/>
        <w:rPr>
          <w:rFonts w:ascii="Arial" w:hAnsi="Arial" w:cs="Arial"/>
          <w:sz w:val="20"/>
        </w:rPr>
      </w:pPr>
    </w:p>
    <w:p w14:paraId="60F878C8" w14:textId="595FC67A" w:rsidR="00176A05" w:rsidRDefault="00176A05" w:rsidP="00B002D3">
      <w:pPr>
        <w:spacing w:after="0"/>
        <w:jc w:val="center"/>
        <w:rPr>
          <w:rFonts w:ascii="Arial" w:hAnsi="Arial" w:cs="Arial"/>
          <w:sz w:val="20"/>
        </w:rPr>
      </w:pPr>
      <w:r w:rsidRPr="00176A05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7C3C1759" wp14:editId="3C00D343">
                <wp:extent cx="5924550" cy="1403985"/>
                <wp:effectExtent l="0" t="0" r="0" b="4445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8FDE" w14:textId="77777777" w:rsidR="00176A05" w:rsidRDefault="00176A0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</w:pPr>
                          </w:p>
                          <w:p w14:paraId="7C0F25A4" w14:textId="59AC50AC" w:rsidR="00176A05" w:rsidRDefault="00DF1B9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70AD47" w:themeColor="accent6"/>
                                <w:sz w:val="20"/>
                                <w:szCs w:val="24"/>
                              </w:rPr>
                              <w:t>De volledige tekst van de CAO G</w:t>
                            </w:r>
                            <w:r w:rsidR="00176A05" w:rsidRPr="00176A05">
                              <w:rPr>
                                <w:rFonts w:ascii="Arial" w:hAnsi="Arial" w:cs="Arial"/>
                                <w:iCs/>
                                <w:color w:val="70AD47" w:themeColor="accent6"/>
                                <w:sz w:val="20"/>
                                <w:szCs w:val="24"/>
                              </w:rPr>
                              <w:t xml:space="preserve">ehandicaptenzorg vindt u op </w:t>
                            </w:r>
                            <w:hyperlink r:id="rId6" w:history="1">
                              <w:r w:rsidR="00176A05" w:rsidRPr="00176A05">
                                <w:rPr>
                                  <w:rStyle w:val="Hyperlink"/>
                                  <w:rFonts w:ascii="Arial" w:hAnsi="Arial" w:cs="Arial"/>
                                  <w:color w:val="2F5496" w:themeColor="accent1" w:themeShade="BF"/>
                                  <w:sz w:val="20"/>
                                  <w:szCs w:val="24"/>
                                </w:rPr>
                                <w:t>vgn.</w:t>
                              </w:r>
                              <w:r w:rsidR="00176A05" w:rsidRPr="00176A05">
                                <w:rPr>
                                  <w:rStyle w:val="Hyperlink"/>
                                  <w:rFonts w:ascii="Arial" w:hAnsi="Arial" w:cs="Arial"/>
                                  <w:color w:val="2F5496" w:themeColor="accent1" w:themeShade="BF"/>
                                  <w:sz w:val="20"/>
                                  <w:szCs w:val="24"/>
                                </w:rPr>
                                <w:t>n</w:t>
                              </w:r>
                              <w:r w:rsidR="00176A05" w:rsidRPr="00176A05">
                                <w:rPr>
                                  <w:rStyle w:val="Hyperlink"/>
                                  <w:rFonts w:ascii="Arial" w:hAnsi="Arial" w:cs="Arial"/>
                                  <w:color w:val="2F5496" w:themeColor="accent1" w:themeShade="BF"/>
                                  <w:sz w:val="20"/>
                                  <w:szCs w:val="24"/>
                                </w:rPr>
                                <w:t>l/cao</w:t>
                              </w:r>
                            </w:hyperlink>
                            <w:r w:rsidR="00176A05" w:rsidRPr="00176A05">
                              <w:rPr>
                                <w:rFonts w:ascii="Arial" w:hAnsi="Arial" w:cs="Arial"/>
                                <w:iCs/>
                                <w:color w:val="70AD47" w:themeColor="accent6"/>
                                <w:sz w:val="20"/>
                                <w:szCs w:val="24"/>
                              </w:rPr>
                              <w:t xml:space="preserve"> bijlage 4</w:t>
                            </w:r>
                            <w:r w:rsidR="00176A05" w:rsidRPr="00176A05">
                              <w:rPr>
                                <w:rFonts w:ascii="Arial" w:hAnsi="Arial" w:cs="Arial"/>
                                <w:i/>
                                <w:iCs/>
                                <w:color w:val="70AD47" w:themeColor="accent6"/>
                                <w:sz w:val="20"/>
                                <w:szCs w:val="24"/>
                              </w:rPr>
                              <w:t>: FWG-procedures.</w:t>
                            </w:r>
                          </w:p>
                          <w:p w14:paraId="6C23F74A" w14:textId="77777777" w:rsidR="00176A05" w:rsidRPr="00176A05" w:rsidRDefault="00176A0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3C175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66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vXEAIAAPUDAAAOAAAAZHJzL2Uyb0RvYy54bWysU9tu2zAMfR+wfxD0vthx4zUx4hRduwwD&#10;ugvQ7gMUWY6FSKImKbGzrx8lp2mwvhXzgyCa5CHPIbW8GbQiB+G8BFPT6SSnRBgOjTTbmv56Wn+Y&#10;U+IDMw1TYERNj8LTm9X7d8veVqKADlQjHEEQ46ve1rQLwVZZ5nknNPMTsMKgswWnWUDTbbPGsR7R&#10;tcqKPP+Y9eAa64AL7/Hv/eikq4TftoKHH23rRSCqpthbSKdL5yae2WrJqq1jtpP81AZ7QxeaSYNF&#10;z1D3LDCyd/IVlJbcgYc2TDjoDNpWcpE4IJtp/g+bx45ZkbigON6eZfL/D5Z/P/x0RDY1vcqvKTFM&#10;45CexM6HA9uRIurTW19h2KPFwDB8ggHnnLh6+wB854mBu46Zrbh1DvpOsAb7m8bM7CJ1xPERZNN/&#10;gwbLsH2ABDS0TkfxUA6C6Din43k2YgiE489yUczKEl0cfdNZfrWYl6kGq57TrfPhiwBN4qWmDoef&#10;4NnhwYfYDqueQ2I1A2upVFoAZUhf00VZlCnhwqNlwP1UUtd0nsdv3JjI8rNpUnJgUo13LKDMiXZk&#10;OnIOw2bAwKjFBpojCuBg3EN8N3jpwP2hpMcdrKn/vWdOUKK+GhRxMZ3N4tImY1ZeF2i4S8/m0sMM&#10;R6iaBkrG611Iix65enuLYq9lkuGlk1OvuFtJndM7iMt7aaeol9e6+gsAAP//AwBQSwMEFAAGAAgA&#10;AAAhAF8ZMzrZAAAABQEAAA8AAABkcnMvZG93bnJldi54bWxMj81OwzAQhO9IvIO1SNyok1QgCHGq&#10;ih+JAxdKuLvxEkfE6yjeNunbs3CBy0ijWc18W22WMKgjTqmPZCBfZaCQ2uh66gw0789Xt6ASW3J2&#10;iIQGTphgU5+fVbZ0caY3PO64U1JCqbQGPPNYap1aj8GmVRyRJPuMU7Asduq0m+ws5WHQRZbd6GB7&#10;kgVvR3zw2H7tDsEAs9vmp+YppJeP5fVx9ll7bRtjLi+W7T0oxoX/juEHX9ChFqZ9PJBLajAgj/Cv&#10;Sna3XovdGyiKPAddV/o/ff0NAAD//wMAUEsBAi0AFAAGAAgAAAAhALaDOJL+AAAA4QEAABMAAAAA&#10;AAAAAAAAAAAAAAAAAFtDb250ZW50X1R5cGVzXS54bWxQSwECLQAUAAYACAAAACEAOP0h/9YAAACU&#10;AQAACwAAAAAAAAAAAAAAAAAvAQAAX3JlbHMvLnJlbHNQSwECLQAUAAYACAAAACEAJFzL1xACAAD1&#10;AwAADgAAAAAAAAAAAAAAAAAuAgAAZHJzL2Uyb0RvYy54bWxQSwECLQAUAAYACAAAACEAXxkzOtkA&#10;AAAFAQAADwAAAAAAAAAAAAAAAABqBAAAZHJzL2Rvd25yZXYueG1sUEsFBgAAAAAEAAQA8wAAAHAF&#10;AAAAAA==&#10;" filled="f" stroked="f">
                <v:textbox style="mso-fit-shape-to-text:t">
                  <w:txbxContent>
                    <w:p w14:paraId="7C0F8FDE" w14:textId="77777777" w:rsidR="00176A05" w:rsidRDefault="00176A0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Cs/>
                          <w:color w:val="4472C4" w:themeColor="accent1"/>
                          <w:sz w:val="20"/>
                          <w:szCs w:val="24"/>
                        </w:rPr>
                      </w:pPr>
                    </w:p>
                    <w:p w14:paraId="7C0F25A4" w14:textId="59AC50AC" w:rsidR="00176A05" w:rsidRDefault="00DF1B9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70AD47" w:themeColor="accent6"/>
                          <w:sz w:val="20"/>
                          <w:szCs w:val="24"/>
                        </w:rPr>
                        <w:t>De volledige tekst van de CAO G</w:t>
                      </w:r>
                      <w:r w:rsidR="00176A05" w:rsidRPr="00176A05">
                        <w:rPr>
                          <w:rFonts w:ascii="Arial" w:hAnsi="Arial" w:cs="Arial"/>
                          <w:iCs/>
                          <w:color w:val="70AD47" w:themeColor="accent6"/>
                          <w:sz w:val="20"/>
                          <w:szCs w:val="24"/>
                        </w:rPr>
                        <w:t xml:space="preserve">ehandicaptenzorg vindt u op </w:t>
                      </w:r>
                      <w:hyperlink r:id="rId7" w:history="1">
                        <w:r w:rsidR="00176A05" w:rsidRPr="00176A05">
                          <w:rPr>
                            <w:rStyle w:val="Hyperlink"/>
                            <w:rFonts w:ascii="Arial" w:hAnsi="Arial" w:cs="Arial"/>
                            <w:color w:val="2F5496" w:themeColor="accent1" w:themeShade="BF"/>
                            <w:sz w:val="20"/>
                            <w:szCs w:val="24"/>
                          </w:rPr>
                          <w:t>vgn.</w:t>
                        </w:r>
                        <w:r w:rsidR="00176A05" w:rsidRPr="00176A05">
                          <w:rPr>
                            <w:rStyle w:val="Hyperlink"/>
                            <w:rFonts w:ascii="Arial" w:hAnsi="Arial" w:cs="Arial"/>
                            <w:color w:val="2F5496" w:themeColor="accent1" w:themeShade="BF"/>
                            <w:sz w:val="20"/>
                            <w:szCs w:val="24"/>
                          </w:rPr>
                          <w:t>n</w:t>
                        </w:r>
                        <w:r w:rsidR="00176A05" w:rsidRPr="00176A05">
                          <w:rPr>
                            <w:rStyle w:val="Hyperlink"/>
                            <w:rFonts w:ascii="Arial" w:hAnsi="Arial" w:cs="Arial"/>
                            <w:color w:val="2F5496" w:themeColor="accent1" w:themeShade="BF"/>
                            <w:sz w:val="20"/>
                            <w:szCs w:val="24"/>
                          </w:rPr>
                          <w:t>l/cao</w:t>
                        </w:r>
                      </w:hyperlink>
                      <w:r w:rsidR="00176A05" w:rsidRPr="00176A05">
                        <w:rPr>
                          <w:rFonts w:ascii="Arial" w:hAnsi="Arial" w:cs="Arial"/>
                          <w:iCs/>
                          <w:color w:val="70AD47" w:themeColor="accent6"/>
                          <w:sz w:val="20"/>
                          <w:szCs w:val="24"/>
                        </w:rPr>
                        <w:t xml:space="preserve"> bijlage 4</w:t>
                      </w:r>
                      <w:r w:rsidR="00176A05" w:rsidRPr="00176A05">
                        <w:rPr>
                          <w:rFonts w:ascii="Arial" w:hAnsi="Arial" w:cs="Arial"/>
                          <w:i/>
                          <w:iCs/>
                          <w:color w:val="70AD47" w:themeColor="accent6"/>
                          <w:sz w:val="20"/>
                          <w:szCs w:val="24"/>
                        </w:rPr>
                        <w:t>: FWG-procedures.</w:t>
                      </w:r>
                    </w:p>
                    <w:p w14:paraId="6C23F74A" w14:textId="77777777" w:rsidR="00176A05" w:rsidRPr="00176A05" w:rsidRDefault="00176A0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3E737D" w14:textId="77777777" w:rsidR="00176A05" w:rsidRDefault="00176A05" w:rsidP="00B002D3">
      <w:pPr>
        <w:spacing w:after="0"/>
        <w:jc w:val="center"/>
        <w:rPr>
          <w:rFonts w:ascii="Arial" w:hAnsi="Arial" w:cs="Arial"/>
          <w:sz w:val="20"/>
        </w:rPr>
      </w:pPr>
    </w:p>
    <w:p w14:paraId="71E14C49" w14:textId="77777777" w:rsidR="00176A05" w:rsidRDefault="00176A05" w:rsidP="00B002D3">
      <w:pPr>
        <w:spacing w:after="0"/>
        <w:ind w:firstLine="708"/>
        <w:jc w:val="center"/>
        <w:rPr>
          <w:rFonts w:ascii="Arial" w:hAnsi="Arial" w:cs="Arial"/>
          <w:sz w:val="20"/>
        </w:rPr>
      </w:pPr>
      <w:r w:rsidRPr="00176A05">
        <w:rPr>
          <w:rFonts w:ascii="Arial" w:hAnsi="Arial" w:cs="Arial"/>
          <w:sz w:val="20"/>
        </w:rPr>
        <w:t xml:space="preserve">Onderstaand schema geeft u inzicht in de </w:t>
      </w:r>
      <w:r>
        <w:rPr>
          <w:rFonts w:ascii="Arial" w:hAnsi="Arial" w:cs="Arial"/>
          <w:sz w:val="20"/>
        </w:rPr>
        <w:t>voornaamste wijzigingen:</w:t>
      </w:r>
    </w:p>
    <w:p w14:paraId="6B389077" w14:textId="77777777" w:rsidR="00FE2343" w:rsidRDefault="00FE2343" w:rsidP="00B002D3">
      <w:pPr>
        <w:spacing w:line="240" w:lineRule="auto"/>
        <w:jc w:val="center"/>
      </w:pPr>
    </w:p>
    <w:tbl>
      <w:tblPr>
        <w:tblStyle w:val="Tabelraster"/>
        <w:tblW w:w="10490" w:type="dxa"/>
        <w:tblInd w:w="-724" w:type="dxa"/>
        <w:tblLook w:val="04A0" w:firstRow="1" w:lastRow="0" w:firstColumn="1" w:lastColumn="0" w:noHBand="0" w:noVBand="1"/>
      </w:tblPr>
      <w:tblGrid>
        <w:gridCol w:w="2836"/>
        <w:gridCol w:w="3827"/>
        <w:gridCol w:w="3827"/>
      </w:tblGrid>
      <w:tr w:rsidR="0062427D" w:rsidRPr="0062427D" w14:paraId="72BD4B25" w14:textId="77777777" w:rsidTr="00A42801">
        <w:trPr>
          <w:tblHeader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B207C" w14:textId="77777777" w:rsidR="0062427D" w:rsidRPr="00F323A3" w:rsidRDefault="00176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3A3">
              <w:rPr>
                <w:rFonts w:ascii="Arial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A2D9B" w14:textId="77777777" w:rsidR="0062427D" w:rsidRPr="00F323A3" w:rsidRDefault="00624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3A3">
              <w:rPr>
                <w:rFonts w:ascii="Arial" w:hAnsi="Arial" w:cs="Arial"/>
                <w:b/>
                <w:sz w:val="20"/>
                <w:szCs w:val="20"/>
              </w:rPr>
              <w:t>Voor 1 april 2018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47730" w14:textId="77777777" w:rsidR="0062427D" w:rsidRPr="00F323A3" w:rsidRDefault="00624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23A3">
              <w:rPr>
                <w:rFonts w:ascii="Arial" w:hAnsi="Arial" w:cs="Arial"/>
                <w:b/>
                <w:sz w:val="20"/>
                <w:szCs w:val="20"/>
              </w:rPr>
              <w:t>Na 1 april 2018</w:t>
            </w:r>
          </w:p>
        </w:tc>
      </w:tr>
      <w:tr w:rsidR="0062427D" w:rsidRPr="0062427D" w14:paraId="259E58B1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8BB0F" w14:textId="77777777" w:rsidR="0062427D" w:rsidRPr="0062427D" w:rsidRDefault="0062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Vigerende FWG applicatie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D0896" w14:textId="77777777" w:rsidR="0062427D" w:rsidRPr="0062427D" w:rsidRDefault="0062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Functie-indeling volgt uit toepassing FWG 3.0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500A" w14:textId="77777777" w:rsidR="0062427D" w:rsidRPr="0062427D" w:rsidRDefault="0062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Functie-indeling volgt uit toepassing FWG Gehandicaptenzorg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27D" w:rsidRPr="0062427D" w14:paraId="09FBA6D5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D3599" w14:textId="77777777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 volgen FWG procedure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0A5E" w14:textId="6ED7AB63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Verschillende procedures voor herindeling en herbeschrijving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0A58C" w14:textId="4A4E2524" w:rsidR="0062427D" w:rsidRPr="0062427D" w:rsidRDefault="00B0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Eén</w:t>
            </w:r>
            <w:r w:rsidR="0040084D">
              <w:rPr>
                <w:rFonts w:ascii="Arial" w:hAnsi="Arial" w:cs="Arial"/>
                <w:sz w:val="20"/>
                <w:szCs w:val="20"/>
              </w:rPr>
              <w:t xml:space="preserve"> procedure voor de </w:t>
            </w:r>
            <w:r>
              <w:rPr>
                <w:rFonts w:ascii="Arial" w:hAnsi="Arial" w:cs="Arial"/>
                <w:sz w:val="20"/>
                <w:szCs w:val="20"/>
              </w:rPr>
              <w:t>vijf verschillende</w:t>
            </w:r>
            <w:r w:rsidR="0040084D">
              <w:rPr>
                <w:rFonts w:ascii="Arial" w:hAnsi="Arial" w:cs="Arial"/>
                <w:sz w:val="20"/>
                <w:szCs w:val="20"/>
              </w:rPr>
              <w:t xml:space="preserve"> aanleidingen </w:t>
            </w:r>
            <w:r w:rsidRPr="00B030E9">
              <w:rPr>
                <w:rFonts w:ascii="Arial" w:hAnsi="Arial" w:cs="Arial"/>
                <w:sz w:val="20"/>
                <w:szCs w:val="20"/>
              </w:rPr>
              <w:t>voor wijziging van de functiebeschrijving en/of indeling</w:t>
            </w:r>
            <w:r w:rsidR="00B002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27D" w:rsidRPr="0062427D" w14:paraId="40711ECF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BEAFC" w14:textId="55DF44A1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wijzigingsprocedure</w:t>
            </w:r>
            <w:r w:rsidR="00F02115">
              <w:rPr>
                <w:rFonts w:ascii="Arial" w:hAnsi="Arial" w:cs="Arial"/>
                <w:sz w:val="20"/>
                <w:szCs w:val="20"/>
              </w:rPr>
              <w:t xml:space="preserve"> / reactie herindelingsverzoek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8277" w14:textId="759156BD" w:rsidR="0062427D" w:rsidRPr="0062427D" w:rsidRDefault="00F32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Binnen 60 dagen na verzoek</w:t>
            </w:r>
            <w:r w:rsidR="00F02115">
              <w:rPr>
                <w:rFonts w:ascii="Arial" w:hAnsi="Arial" w:cs="Arial"/>
                <w:sz w:val="20"/>
                <w:szCs w:val="20"/>
              </w:rPr>
              <w:t xml:space="preserve"> herindelingsprocedure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3DC8F" w14:textId="77777777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Binnen 4 weken na verzoek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27D" w:rsidRPr="0062427D" w14:paraId="56EA4D4B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7C244" w14:textId="6244B107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Opstellen en aanbieden functiebeschrijving en indeling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48716" w14:textId="75DFAC94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Werkgever neemt voorlopig besluit functiebeschrijving en legt dit aan de werknemer voor. Op basis van 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definitie</w:t>
            </w:r>
            <w:r w:rsidR="004B680C"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beschrijving vindt</w:t>
            </w:r>
            <w:r w:rsidR="00F0211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115">
              <w:rPr>
                <w:rFonts w:ascii="Arial" w:hAnsi="Arial" w:cs="Arial"/>
                <w:sz w:val="20"/>
                <w:szCs w:val="20"/>
              </w:rPr>
              <w:t xml:space="preserve">in geval van herindelingsprocedure, </w:t>
            </w:r>
            <w:r>
              <w:rPr>
                <w:rFonts w:ascii="Arial" w:hAnsi="Arial" w:cs="Arial"/>
                <w:sz w:val="20"/>
                <w:szCs w:val="20"/>
              </w:rPr>
              <w:t>waardering en indeling van de functie plaats, vindt zo nodig een herindelingsgesprek plaats en ontvangt de werknemer een herindelingsvoorstel.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F55C6" w14:textId="77777777" w:rsidR="0062427D" w:rsidRPr="0062427D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Werkgever stelt, zo mogelijk na overleg met de werknemer, de functiebeschrijving en indeling op en legt deze 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gemotiveerd </w:t>
            </w:r>
            <w:r>
              <w:rPr>
                <w:rFonts w:ascii="Arial" w:hAnsi="Arial" w:cs="Arial"/>
                <w:sz w:val="20"/>
                <w:szCs w:val="20"/>
              </w:rPr>
              <w:t>voor aan de werknemer.</w:t>
            </w:r>
          </w:p>
        </w:tc>
      </w:tr>
      <w:tr w:rsidR="0062427D" w:rsidRPr="0062427D" w14:paraId="1D315316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41135" w14:textId="77777777" w:rsidR="0062427D" w:rsidRPr="0062427D" w:rsidRDefault="004A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Fases</w:t>
            </w:r>
            <w:r w:rsidR="003D5E66">
              <w:rPr>
                <w:rFonts w:ascii="Arial" w:hAnsi="Arial" w:cs="Arial"/>
                <w:sz w:val="20"/>
                <w:szCs w:val="20"/>
              </w:rPr>
              <w:t xml:space="preserve"> aanbieden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3D5E66">
              <w:rPr>
                <w:rFonts w:ascii="Arial" w:hAnsi="Arial" w:cs="Arial"/>
                <w:sz w:val="20"/>
                <w:szCs w:val="20"/>
              </w:rPr>
              <w:t>unctiebeschrijving en indelingsvoorstel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 en bezwaar procedure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3AA9A" w14:textId="77777777" w:rsidR="00B030E9" w:rsidRDefault="003D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Functiebeschrijving en indelingsvoorstel worden apart aangeboden</w:t>
            </w:r>
            <w:r w:rsidR="004A2429">
              <w:rPr>
                <w:rFonts w:ascii="Arial" w:hAnsi="Arial" w:cs="Arial"/>
                <w:sz w:val="20"/>
                <w:szCs w:val="20"/>
              </w:rPr>
              <w:t xml:space="preserve"> (2 fases)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350BBA" w14:textId="1F7A5114" w:rsidR="0062427D" w:rsidRPr="0062427D" w:rsidRDefault="004B6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 beide voorstellen geldt een aparte bezwaarprocedure.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04EF1" w14:textId="6FDEEA85" w:rsidR="0062427D" w:rsidRPr="0062427D" w:rsidRDefault="003D5E66" w:rsidP="00A42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Functiebeschrijving en indelingsvoorstel worden gelijktijdig voorgelegd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. Er is </w:t>
            </w:r>
            <w:r w:rsidR="00B030E9">
              <w:rPr>
                <w:rFonts w:ascii="Arial" w:hAnsi="Arial" w:cs="Arial"/>
                <w:sz w:val="20"/>
                <w:szCs w:val="20"/>
              </w:rPr>
              <w:t>één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0E9">
              <w:rPr>
                <w:rFonts w:ascii="Arial" w:hAnsi="Arial" w:cs="Arial"/>
                <w:sz w:val="20"/>
                <w:szCs w:val="20"/>
              </w:rPr>
              <w:t>bezwaar</w:t>
            </w:r>
            <w:r w:rsidR="004B680C">
              <w:rPr>
                <w:rFonts w:ascii="Arial" w:hAnsi="Arial" w:cs="Arial"/>
                <w:sz w:val="20"/>
                <w:szCs w:val="20"/>
              </w:rPr>
              <w:t xml:space="preserve">procedure voor bezwaar op </w:t>
            </w:r>
            <w:r w:rsidR="007B3553">
              <w:rPr>
                <w:rFonts w:ascii="Arial" w:hAnsi="Arial" w:cs="Arial"/>
                <w:sz w:val="20"/>
                <w:szCs w:val="20"/>
              </w:rPr>
              <w:t>zowel de f</w:t>
            </w:r>
            <w:r w:rsidR="00B030E9" w:rsidRPr="00B030E9">
              <w:rPr>
                <w:rFonts w:ascii="Arial" w:hAnsi="Arial" w:cs="Arial"/>
                <w:sz w:val="20"/>
                <w:szCs w:val="20"/>
              </w:rPr>
              <w:t xml:space="preserve">unctiebeschrijving </w:t>
            </w:r>
            <w:r w:rsidR="00B030E9">
              <w:rPr>
                <w:rFonts w:ascii="Arial" w:hAnsi="Arial" w:cs="Arial"/>
                <w:sz w:val="20"/>
                <w:szCs w:val="20"/>
              </w:rPr>
              <w:t>als het</w:t>
            </w:r>
            <w:r w:rsidR="00B030E9" w:rsidRPr="00B030E9">
              <w:rPr>
                <w:rFonts w:ascii="Arial" w:hAnsi="Arial" w:cs="Arial"/>
                <w:sz w:val="20"/>
                <w:szCs w:val="20"/>
              </w:rPr>
              <w:t xml:space="preserve"> indelingsvoorstel</w:t>
            </w:r>
            <w:r w:rsidR="004B680C">
              <w:rPr>
                <w:rFonts w:ascii="Arial" w:hAnsi="Arial" w:cs="Arial"/>
                <w:sz w:val="20"/>
                <w:szCs w:val="20"/>
              </w:rPr>
              <w:t>.</w:t>
            </w:r>
            <w:r w:rsidR="00A42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429">
              <w:rPr>
                <w:rFonts w:ascii="Arial" w:hAnsi="Arial" w:cs="Arial"/>
                <w:sz w:val="20"/>
                <w:szCs w:val="20"/>
              </w:rPr>
              <w:t>Indien op beide bezwaar</w:t>
            </w:r>
            <w:r w:rsidR="00A42801">
              <w:rPr>
                <w:rFonts w:ascii="Arial" w:hAnsi="Arial" w:cs="Arial"/>
                <w:sz w:val="20"/>
                <w:szCs w:val="20"/>
              </w:rPr>
              <w:t>,</w:t>
            </w:r>
            <w:r w:rsidR="004A2429">
              <w:rPr>
                <w:rFonts w:ascii="Arial" w:hAnsi="Arial" w:cs="Arial"/>
                <w:sz w:val="20"/>
                <w:szCs w:val="20"/>
              </w:rPr>
              <w:t xml:space="preserve"> dan apart behandelen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427D" w:rsidRPr="0062427D" w14:paraId="01F7A963" w14:textId="77777777" w:rsidTr="00A42801"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FE54" w14:textId="1D331515" w:rsidR="0062427D" w:rsidRDefault="004A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Bezwaar op indeling opgesteld </w:t>
            </w:r>
            <w:r w:rsidR="00F02115">
              <w:rPr>
                <w:rFonts w:ascii="Arial" w:hAnsi="Arial" w:cs="Arial"/>
                <w:sz w:val="20"/>
                <w:szCs w:val="20"/>
              </w:rPr>
              <w:t xml:space="preserve">door systeemhouder FWG </w:t>
            </w:r>
            <w:r>
              <w:rPr>
                <w:rFonts w:ascii="Arial" w:hAnsi="Arial" w:cs="Arial"/>
                <w:sz w:val="20"/>
                <w:szCs w:val="20"/>
              </w:rPr>
              <w:t>met FWG 3.0 (Helpdesk</w:t>
            </w:r>
            <w:r w:rsidR="00F02115">
              <w:rPr>
                <w:rFonts w:ascii="Arial" w:hAnsi="Arial" w:cs="Arial"/>
                <w:sz w:val="20"/>
                <w:szCs w:val="20"/>
              </w:rPr>
              <w:t>advies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02115">
              <w:rPr>
                <w:rFonts w:ascii="Arial" w:hAnsi="Arial" w:cs="Arial"/>
                <w:sz w:val="20"/>
                <w:szCs w:val="20"/>
              </w:rPr>
              <w:t xml:space="preserve"> na 1 april 2018</w:t>
            </w:r>
          </w:p>
          <w:p w14:paraId="31A81BB2" w14:textId="77777777" w:rsidR="00F02115" w:rsidRDefault="00F021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D3D2D" w14:textId="750DE8C7" w:rsidR="00F02115" w:rsidRPr="0062427D" w:rsidRDefault="00F0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09415" w14:textId="77777777" w:rsidR="0062427D" w:rsidRPr="00F323A3" w:rsidRDefault="00F323A3" w:rsidP="00B002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23A3">
              <w:rPr>
                <w:rFonts w:ascii="Arial" w:hAnsi="Arial" w:cs="Arial"/>
                <w:i/>
                <w:sz w:val="20"/>
                <w:szCs w:val="20"/>
              </w:rPr>
              <w:t>Niet van toepassing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DADF6" w14:textId="7E1A39E3" w:rsidR="0062427D" w:rsidRPr="0062427D" w:rsidRDefault="004A2429" w:rsidP="004A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Indien 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een </w:t>
            </w:r>
            <w:r>
              <w:rPr>
                <w:rFonts w:ascii="Arial" w:hAnsi="Arial" w:cs="Arial"/>
                <w:sz w:val="20"/>
                <w:szCs w:val="20"/>
              </w:rPr>
              <w:t>functie, naar mening van de systeemhouder, ingedeeld moet worden met FWG 3.0 is het niet mogelijk een bezwaar op de indeling te laten beoordelen door de IBC</w:t>
            </w:r>
            <w:r w:rsidR="001132BB">
              <w:rPr>
                <w:rFonts w:ascii="Arial" w:hAnsi="Arial" w:cs="Arial"/>
                <w:sz w:val="20"/>
                <w:szCs w:val="20"/>
              </w:rPr>
              <w:t>. De werknemer kan bezw</w:t>
            </w:r>
            <w:r w:rsidR="00B030E9">
              <w:rPr>
                <w:rFonts w:ascii="Arial" w:hAnsi="Arial" w:cs="Arial"/>
                <w:sz w:val="20"/>
                <w:szCs w:val="20"/>
              </w:rPr>
              <w:t>a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ar maken tegen de functiebeschrijving en/of indeling. De werkgever </w:t>
            </w:r>
            <w:r w:rsidR="00B030E9">
              <w:rPr>
                <w:rFonts w:ascii="Arial" w:hAnsi="Arial" w:cs="Arial"/>
                <w:sz w:val="20"/>
                <w:szCs w:val="20"/>
              </w:rPr>
              <w:t>kan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 over </w:t>
            </w:r>
            <w:r w:rsidR="00A42801">
              <w:rPr>
                <w:rFonts w:ascii="Arial" w:hAnsi="Arial" w:cs="Arial"/>
                <w:sz w:val="20"/>
                <w:szCs w:val="20"/>
              </w:rPr>
              <w:t>dit bezwaar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 advies </w:t>
            </w:r>
            <w:r w:rsidR="00B030E9">
              <w:rPr>
                <w:rFonts w:ascii="Arial" w:hAnsi="Arial" w:cs="Arial"/>
                <w:sz w:val="20"/>
                <w:szCs w:val="20"/>
              </w:rPr>
              <w:t xml:space="preserve">vragen </w:t>
            </w:r>
            <w:r w:rsidR="001132BB">
              <w:rPr>
                <w:rFonts w:ascii="Arial" w:hAnsi="Arial" w:cs="Arial"/>
                <w:sz w:val="20"/>
                <w:szCs w:val="20"/>
              </w:rPr>
              <w:t>aan de IBC. E</w:t>
            </w:r>
            <w:r w:rsidR="00B030E9">
              <w:rPr>
                <w:rFonts w:ascii="Arial" w:hAnsi="Arial" w:cs="Arial"/>
                <w:sz w:val="20"/>
                <w:szCs w:val="20"/>
              </w:rPr>
              <w:t>e</w:t>
            </w:r>
            <w:r w:rsidR="001132BB">
              <w:rPr>
                <w:rFonts w:ascii="Arial" w:hAnsi="Arial" w:cs="Arial"/>
                <w:sz w:val="20"/>
                <w:szCs w:val="20"/>
              </w:rPr>
              <w:t>n eventueel (blijvend) bezwaar tegen de indeling wordt</w:t>
            </w:r>
            <w:r>
              <w:rPr>
                <w:rFonts w:ascii="Arial" w:hAnsi="Arial" w:cs="Arial"/>
                <w:sz w:val="20"/>
                <w:szCs w:val="20"/>
              </w:rPr>
              <w:t xml:space="preserve"> behandeld door de LBC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32BB" w:rsidRPr="0062427D" w14:paraId="26238140" w14:textId="77777777" w:rsidTr="00A42801">
        <w:tc>
          <w:tcPr>
            <w:tcW w:w="2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9E77A" w14:textId="77777777" w:rsidR="001132BB" w:rsidRDefault="0011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Termijnen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1E2C2" w14:textId="5BE90202" w:rsidR="004D35F5" w:rsidRPr="00B030E9" w:rsidRDefault="004D35F5" w:rsidP="00B0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procedurestap is aangegeven of de werkgever de </w:t>
            </w:r>
            <w:r w:rsidR="00A428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bezwaar</w:t>
            </w:r>
            <w:r w:rsidR="00A4280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termijnen kan wijzigen met instemming van de OR/PVT.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CFC4" w14:textId="110E0B72" w:rsidR="001132BB" w:rsidRDefault="007B3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Eé</w:t>
            </w:r>
            <w:r w:rsidR="004D35F5">
              <w:rPr>
                <w:rFonts w:ascii="Arial" w:hAnsi="Arial" w:cs="Arial"/>
                <w:sz w:val="20"/>
                <w:szCs w:val="20"/>
              </w:rPr>
              <w:t>n artikel met de mogelijkheid om m</w:t>
            </w:r>
            <w:r w:rsidR="001132BB">
              <w:rPr>
                <w:rFonts w:ascii="Arial" w:hAnsi="Arial" w:cs="Arial"/>
                <w:sz w:val="20"/>
                <w:szCs w:val="20"/>
              </w:rPr>
              <w:t>et instemming van de OR/</w:t>
            </w:r>
            <w:r w:rsidR="004D35F5">
              <w:rPr>
                <w:rFonts w:ascii="Arial" w:hAnsi="Arial" w:cs="Arial"/>
                <w:sz w:val="20"/>
                <w:szCs w:val="20"/>
              </w:rPr>
              <w:t xml:space="preserve">PVT de </w:t>
            </w:r>
            <w:r w:rsidR="00A42801">
              <w:rPr>
                <w:rFonts w:ascii="Arial" w:hAnsi="Arial" w:cs="Arial"/>
                <w:sz w:val="20"/>
                <w:szCs w:val="20"/>
              </w:rPr>
              <w:t>(</w:t>
            </w:r>
            <w:r w:rsidR="004D35F5">
              <w:rPr>
                <w:rFonts w:ascii="Arial" w:hAnsi="Arial" w:cs="Arial"/>
                <w:sz w:val="20"/>
                <w:szCs w:val="20"/>
              </w:rPr>
              <w:t>bezwaar</w:t>
            </w:r>
            <w:r w:rsidR="00A42801">
              <w:rPr>
                <w:rFonts w:ascii="Arial" w:hAnsi="Arial" w:cs="Arial"/>
                <w:sz w:val="20"/>
                <w:szCs w:val="20"/>
              </w:rPr>
              <w:t>)</w:t>
            </w:r>
            <w:r w:rsidR="004D35F5">
              <w:rPr>
                <w:rFonts w:ascii="Arial" w:hAnsi="Arial" w:cs="Arial"/>
                <w:sz w:val="20"/>
                <w:szCs w:val="20"/>
              </w:rPr>
              <w:t>termijnen aanpassen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5F5">
              <w:rPr>
                <w:rFonts w:ascii="Arial" w:hAnsi="Arial" w:cs="Arial"/>
                <w:sz w:val="20"/>
                <w:szCs w:val="20"/>
              </w:rPr>
              <w:t>te passen. De t</w:t>
            </w:r>
            <w:r w:rsidR="001132BB">
              <w:rPr>
                <w:rFonts w:ascii="Arial" w:hAnsi="Arial" w:cs="Arial"/>
                <w:sz w:val="20"/>
                <w:szCs w:val="20"/>
              </w:rPr>
              <w:t>ermijn voor het instellen van bezwaar bij de LBC</w:t>
            </w:r>
            <w:r w:rsidR="004D35F5">
              <w:rPr>
                <w:rFonts w:ascii="Arial" w:hAnsi="Arial" w:cs="Arial"/>
                <w:sz w:val="20"/>
                <w:szCs w:val="20"/>
              </w:rPr>
              <w:t xml:space="preserve"> kan niet aangepast worden</w:t>
            </w:r>
            <w:r w:rsidR="00113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14E" w:rsidRPr="0062427D" w14:paraId="6CFEA682" w14:textId="77777777" w:rsidTr="00A42801">
        <w:tc>
          <w:tcPr>
            <w:tcW w:w="2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22F38" w14:textId="77777777" w:rsidR="003D214E" w:rsidRDefault="003D2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IBC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A4F50" w14:textId="0518C9D6" w:rsidR="003D214E" w:rsidRPr="00B030E9" w:rsidRDefault="003D214E" w:rsidP="00B0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Samenstelling en werkwijze vastgelegd in de </w:t>
            </w:r>
            <w:r w:rsidR="00DF1B9F">
              <w:rPr>
                <w:rFonts w:ascii="Arial" w:hAnsi="Arial" w:cs="Arial"/>
                <w:sz w:val="20"/>
                <w:szCs w:val="20"/>
              </w:rPr>
              <w:t>CAO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16CFA" w14:textId="3C95C2BB" w:rsidR="003D214E" w:rsidRDefault="00A42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werkgever en de OR/PVT leggen in een reglement de samenstelling en werkwijze van de IBC vast.</w:t>
            </w:r>
          </w:p>
        </w:tc>
      </w:tr>
      <w:tr w:rsidR="0062427D" w:rsidRPr="0062427D" w14:paraId="2565DA41" w14:textId="77777777" w:rsidTr="00A42801">
        <w:tc>
          <w:tcPr>
            <w:tcW w:w="2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6B474" w14:textId="77777777" w:rsidR="0062427D" w:rsidRPr="0062427D" w:rsidRDefault="004A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Regionale bezwarencommissie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576EC" w14:textId="77777777" w:rsidR="0062427D" w:rsidRPr="0062427D" w:rsidRDefault="00F323A3" w:rsidP="00B002D3">
            <w:pPr>
              <w:rPr>
                <w:rFonts w:ascii="Arial" w:hAnsi="Arial" w:cs="Arial"/>
                <w:sz w:val="20"/>
                <w:szCs w:val="20"/>
              </w:rPr>
            </w:pPr>
            <w:r w:rsidRPr="00F323A3">
              <w:rPr>
                <w:rFonts w:ascii="Arial" w:hAnsi="Arial" w:cs="Arial"/>
                <w:i/>
                <w:sz w:val="20"/>
                <w:szCs w:val="20"/>
              </w:rPr>
              <w:t>Niet van toepassing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F8BB" w14:textId="672A6D25" w:rsidR="0062427D" w:rsidRPr="0062427D" w:rsidRDefault="004A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werkgever kan </w:t>
            </w:r>
            <w:r w:rsidR="001132BB">
              <w:rPr>
                <w:rFonts w:ascii="Arial" w:hAnsi="Arial" w:cs="Arial"/>
                <w:sz w:val="20"/>
                <w:szCs w:val="20"/>
              </w:rPr>
              <w:t>met instemming van de OR</w:t>
            </w:r>
            <w:r w:rsidR="007B3553">
              <w:rPr>
                <w:rFonts w:ascii="Arial" w:hAnsi="Arial" w:cs="Arial"/>
                <w:sz w:val="20"/>
                <w:szCs w:val="20"/>
              </w:rPr>
              <w:t>/PVT</w:t>
            </w:r>
            <w:r w:rsidR="00113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553">
              <w:rPr>
                <w:rFonts w:ascii="Arial" w:hAnsi="Arial" w:cs="Arial"/>
                <w:sz w:val="20"/>
                <w:szCs w:val="20"/>
              </w:rPr>
              <w:t>besluiten een R</w:t>
            </w:r>
            <w:r>
              <w:rPr>
                <w:rFonts w:ascii="Arial" w:hAnsi="Arial" w:cs="Arial"/>
                <w:sz w:val="20"/>
                <w:szCs w:val="20"/>
              </w:rPr>
              <w:t>egionale bezwaren commissie in te stellen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712E" w:rsidRPr="0062427D" w14:paraId="6778CA1C" w14:textId="77777777" w:rsidTr="00A42801">
        <w:tc>
          <w:tcPr>
            <w:tcW w:w="2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2AB8E" w14:textId="31F1A579" w:rsidR="007D712E" w:rsidRDefault="007D7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Kwaliteitseisen</w:t>
            </w:r>
            <w:r w:rsidR="004D35F5">
              <w:rPr>
                <w:rFonts w:ascii="Arial" w:hAnsi="Arial" w:cs="Arial"/>
                <w:sz w:val="20"/>
                <w:szCs w:val="20"/>
              </w:rPr>
              <w:t>/</w:t>
            </w:r>
            <w:r w:rsidR="00B030E9">
              <w:rPr>
                <w:rFonts w:ascii="Arial" w:hAnsi="Arial" w:cs="Arial"/>
                <w:sz w:val="20"/>
                <w:szCs w:val="20"/>
              </w:rPr>
              <w:t>-</w:t>
            </w:r>
            <w:r w:rsidR="004D35F5">
              <w:rPr>
                <w:rFonts w:ascii="Arial" w:hAnsi="Arial" w:cs="Arial"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functiebeschrijving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C4C69" w14:textId="55964398" w:rsidR="007D712E" w:rsidRPr="0062427D" w:rsidRDefault="004D3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de </w:t>
            </w:r>
            <w:r w:rsidR="00DF1B9F">
              <w:rPr>
                <w:rFonts w:ascii="Arial" w:hAnsi="Arial" w:cs="Arial"/>
                <w:sz w:val="20"/>
                <w:szCs w:val="20"/>
              </w:rPr>
              <w:t>CAO</w:t>
            </w:r>
            <w:r>
              <w:rPr>
                <w:rFonts w:ascii="Arial" w:hAnsi="Arial" w:cs="Arial"/>
                <w:sz w:val="20"/>
                <w:szCs w:val="20"/>
              </w:rPr>
              <w:t xml:space="preserve"> wordt verwezen naar de door </w:t>
            </w:r>
            <w:r w:rsidR="00B030E9">
              <w:rPr>
                <w:rFonts w:ascii="Arial" w:hAnsi="Arial" w:cs="Arial"/>
                <w:sz w:val="20"/>
                <w:szCs w:val="20"/>
              </w:rPr>
              <w:t>cao</w:t>
            </w:r>
            <w:r>
              <w:rPr>
                <w:rFonts w:ascii="Arial" w:hAnsi="Arial" w:cs="Arial"/>
                <w:sz w:val="20"/>
                <w:szCs w:val="20"/>
              </w:rPr>
              <w:t>-partijen overeengekomen kwaliteitscriteria.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C5294" w14:textId="25046111" w:rsidR="007D712E" w:rsidRDefault="007B3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kwaliteitseisen zijn</w:t>
            </w:r>
            <w:r w:rsidR="007D712E">
              <w:rPr>
                <w:rFonts w:ascii="Arial" w:hAnsi="Arial" w:cs="Arial"/>
                <w:sz w:val="20"/>
                <w:szCs w:val="20"/>
              </w:rPr>
              <w:t xml:space="preserve"> ongewijzigd maar nu weer</w:t>
            </w:r>
            <w:r w:rsidR="00F323A3">
              <w:rPr>
                <w:rFonts w:ascii="Arial" w:hAnsi="Arial" w:cs="Arial"/>
                <w:sz w:val="20"/>
                <w:szCs w:val="20"/>
              </w:rPr>
              <w:t xml:space="preserve"> expliciet </w:t>
            </w:r>
            <w:r w:rsidR="004D35F5">
              <w:rPr>
                <w:rFonts w:ascii="Arial" w:hAnsi="Arial" w:cs="Arial"/>
                <w:sz w:val="20"/>
                <w:szCs w:val="20"/>
              </w:rPr>
              <w:t>opgenomen</w:t>
            </w:r>
            <w:r w:rsidR="00DF1B9F">
              <w:rPr>
                <w:rFonts w:ascii="Arial" w:hAnsi="Arial" w:cs="Arial"/>
                <w:sz w:val="20"/>
                <w:szCs w:val="20"/>
              </w:rPr>
              <w:t xml:space="preserve"> in de CAO</w:t>
            </w:r>
            <w:r w:rsidR="00F3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EE85EA" w14:textId="77777777" w:rsidR="002918E8" w:rsidRDefault="002918E8">
      <w:pPr>
        <w:rPr>
          <w:rFonts w:ascii="Arial" w:hAnsi="Arial" w:cs="Arial"/>
          <w:sz w:val="20"/>
          <w:szCs w:val="20"/>
        </w:rPr>
      </w:pPr>
    </w:p>
    <w:p w14:paraId="1C943182" w14:textId="51B407DE" w:rsidR="00F323A3" w:rsidRPr="0062427D" w:rsidRDefault="00F323A3" w:rsidP="00B00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over de </w:t>
      </w:r>
      <w:r w:rsidRPr="00F323A3">
        <w:rPr>
          <w:rFonts w:ascii="Arial" w:hAnsi="Arial" w:cs="Arial"/>
          <w:sz w:val="20"/>
          <w:szCs w:val="20"/>
        </w:rPr>
        <w:t xml:space="preserve">interpretatie/toepassing van de </w:t>
      </w:r>
      <w:r w:rsidR="00DF1B9F">
        <w:rPr>
          <w:rFonts w:ascii="Arial" w:hAnsi="Arial" w:cs="Arial"/>
          <w:sz w:val="20"/>
          <w:szCs w:val="20"/>
        </w:rPr>
        <w:t>CAO</w:t>
      </w:r>
      <w:r w:rsidRPr="00F323A3">
        <w:rPr>
          <w:rFonts w:ascii="Arial" w:hAnsi="Arial" w:cs="Arial"/>
          <w:sz w:val="20"/>
          <w:szCs w:val="20"/>
        </w:rPr>
        <w:t xml:space="preserve"> </w:t>
      </w:r>
      <w:r w:rsidR="007B3553">
        <w:rPr>
          <w:rFonts w:ascii="Arial" w:hAnsi="Arial" w:cs="Arial"/>
          <w:sz w:val="20"/>
          <w:szCs w:val="20"/>
        </w:rPr>
        <w:t xml:space="preserve">Gehandicaptenzorg </w:t>
      </w:r>
      <w:r>
        <w:rPr>
          <w:rFonts w:ascii="Arial" w:hAnsi="Arial" w:cs="Arial"/>
          <w:sz w:val="20"/>
          <w:szCs w:val="20"/>
        </w:rPr>
        <w:t xml:space="preserve">dan </w:t>
      </w:r>
      <w:r w:rsidR="00B002D3">
        <w:rPr>
          <w:rFonts w:ascii="Arial" w:hAnsi="Arial" w:cs="Arial"/>
          <w:sz w:val="20"/>
          <w:szCs w:val="20"/>
        </w:rPr>
        <w:t xml:space="preserve">kunt u, indien u de vraag stelt namens een lidinstelling van de VGN, </w:t>
      </w:r>
      <w:r>
        <w:rPr>
          <w:rFonts w:ascii="Arial" w:hAnsi="Arial" w:cs="Arial"/>
          <w:sz w:val="20"/>
          <w:szCs w:val="20"/>
        </w:rPr>
        <w:t>contact op</w:t>
      </w:r>
      <w:r w:rsidR="00B002D3">
        <w:rPr>
          <w:rFonts w:ascii="Arial" w:hAnsi="Arial" w:cs="Arial"/>
          <w:sz w:val="20"/>
          <w:szCs w:val="20"/>
        </w:rPr>
        <w:t>nemen</w:t>
      </w:r>
      <w:r>
        <w:rPr>
          <w:rFonts w:ascii="Arial" w:hAnsi="Arial" w:cs="Arial"/>
          <w:sz w:val="20"/>
          <w:szCs w:val="20"/>
        </w:rPr>
        <w:t xml:space="preserve"> met </w:t>
      </w:r>
      <w:r w:rsidRPr="00F323A3">
        <w:rPr>
          <w:rFonts w:ascii="Arial" w:hAnsi="Arial" w:cs="Arial"/>
          <w:sz w:val="20"/>
          <w:szCs w:val="20"/>
        </w:rPr>
        <w:t xml:space="preserve">de </w:t>
      </w:r>
      <w:r w:rsidR="007B3553">
        <w:rPr>
          <w:rFonts w:ascii="Arial" w:hAnsi="Arial" w:cs="Arial"/>
          <w:sz w:val="20"/>
          <w:szCs w:val="20"/>
        </w:rPr>
        <w:t>CAO-</w:t>
      </w:r>
      <w:r w:rsidRPr="00F323A3">
        <w:rPr>
          <w:rFonts w:ascii="Arial" w:hAnsi="Arial" w:cs="Arial"/>
          <w:sz w:val="20"/>
          <w:szCs w:val="20"/>
        </w:rPr>
        <w:t>Helpdesk</w:t>
      </w:r>
      <w:r>
        <w:rPr>
          <w:rFonts w:ascii="Arial" w:hAnsi="Arial" w:cs="Arial"/>
          <w:sz w:val="20"/>
          <w:szCs w:val="20"/>
        </w:rPr>
        <w:t xml:space="preserve"> van VGN</w:t>
      </w:r>
      <w:r w:rsidRPr="00F323A3">
        <w:rPr>
          <w:rFonts w:ascii="Arial" w:hAnsi="Arial" w:cs="Arial"/>
          <w:sz w:val="20"/>
          <w:szCs w:val="20"/>
        </w:rPr>
        <w:t xml:space="preserve"> via caohelpdesk@vgn.nl of </w:t>
      </w:r>
      <w:r w:rsidR="00B002D3">
        <w:rPr>
          <w:rFonts w:ascii="Arial" w:hAnsi="Arial" w:cs="Arial"/>
          <w:sz w:val="20"/>
          <w:szCs w:val="20"/>
        </w:rPr>
        <w:t xml:space="preserve">via </w:t>
      </w:r>
      <w:bookmarkStart w:id="0" w:name="_GoBack"/>
      <w:bookmarkEnd w:id="0"/>
      <w:r w:rsidRPr="00F323A3">
        <w:rPr>
          <w:rFonts w:ascii="Arial" w:hAnsi="Arial" w:cs="Arial"/>
          <w:sz w:val="20"/>
          <w:szCs w:val="20"/>
        </w:rPr>
        <w:t>030</w:t>
      </w:r>
      <w:r w:rsidR="00B002D3">
        <w:rPr>
          <w:rFonts w:ascii="Arial" w:hAnsi="Arial" w:cs="Arial"/>
          <w:sz w:val="20"/>
          <w:szCs w:val="20"/>
        </w:rPr>
        <w:t xml:space="preserve"> – </w:t>
      </w:r>
      <w:r w:rsidRPr="00F323A3">
        <w:rPr>
          <w:rFonts w:ascii="Arial" w:hAnsi="Arial" w:cs="Arial"/>
          <w:sz w:val="20"/>
          <w:szCs w:val="20"/>
        </w:rPr>
        <w:t>27</w:t>
      </w:r>
      <w:r w:rsidR="00B002D3">
        <w:rPr>
          <w:rFonts w:ascii="Arial" w:hAnsi="Arial" w:cs="Arial"/>
          <w:sz w:val="20"/>
          <w:szCs w:val="20"/>
        </w:rPr>
        <w:t xml:space="preserve"> </w:t>
      </w:r>
      <w:r w:rsidRPr="00F323A3">
        <w:rPr>
          <w:rFonts w:ascii="Arial" w:hAnsi="Arial" w:cs="Arial"/>
          <w:sz w:val="20"/>
          <w:szCs w:val="20"/>
        </w:rPr>
        <w:t>39</w:t>
      </w:r>
      <w:r w:rsidR="00B002D3">
        <w:rPr>
          <w:rFonts w:ascii="Arial" w:hAnsi="Arial" w:cs="Arial"/>
          <w:sz w:val="20"/>
          <w:szCs w:val="20"/>
        </w:rPr>
        <w:t xml:space="preserve"> </w:t>
      </w:r>
      <w:r w:rsidRPr="00F323A3">
        <w:rPr>
          <w:rFonts w:ascii="Arial" w:hAnsi="Arial" w:cs="Arial"/>
          <w:sz w:val="20"/>
          <w:szCs w:val="20"/>
        </w:rPr>
        <w:t>719</w:t>
      </w:r>
      <w:r w:rsidR="00B002D3">
        <w:rPr>
          <w:rFonts w:ascii="Arial" w:hAnsi="Arial" w:cs="Arial"/>
          <w:sz w:val="20"/>
          <w:szCs w:val="20"/>
        </w:rPr>
        <w:t xml:space="preserve"> (iedere werkdag van 09.00 tot 12.00 uur)</w:t>
      </w:r>
      <w:r w:rsidRPr="00F323A3">
        <w:rPr>
          <w:rFonts w:ascii="Arial" w:hAnsi="Arial" w:cs="Arial"/>
          <w:sz w:val="20"/>
          <w:szCs w:val="20"/>
        </w:rPr>
        <w:t>.</w:t>
      </w:r>
    </w:p>
    <w:sectPr w:rsidR="00F323A3" w:rsidRPr="006242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D4E7" w14:textId="77777777" w:rsidR="000362D0" w:rsidRDefault="000362D0" w:rsidP="00FE2343">
      <w:pPr>
        <w:spacing w:after="0" w:line="240" w:lineRule="auto"/>
      </w:pPr>
      <w:r>
        <w:separator/>
      </w:r>
    </w:p>
  </w:endnote>
  <w:endnote w:type="continuationSeparator" w:id="0">
    <w:p w14:paraId="7AEB7B3C" w14:textId="77777777" w:rsidR="000362D0" w:rsidRDefault="000362D0" w:rsidP="00FE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269E" w14:textId="77777777" w:rsidR="00FE2343" w:rsidRPr="00FE2343" w:rsidRDefault="00F323A3" w:rsidP="00F323A3">
    <w:pPr>
      <w:tabs>
        <w:tab w:val="left" w:pos="6237"/>
      </w:tabs>
      <w:spacing w:after="0" w:line="26" w:lineRule="atLeast"/>
      <w:ind w:left="-709"/>
      <w:jc w:val="right"/>
      <w:rPr>
        <w:rFonts w:ascii="Arial" w:eastAsia="Arial" w:hAnsi="Arial" w:cs="Times New Roman"/>
        <w:sz w:val="18"/>
        <w:szCs w:val="20"/>
      </w:rPr>
    </w:pPr>
    <w:r>
      <w:rPr>
        <w:rFonts w:ascii="Arial" w:eastAsia="Arial" w:hAnsi="Arial" w:cs="Times New Roman"/>
        <w:noProof/>
        <w:sz w:val="18"/>
        <w:szCs w:val="20"/>
      </w:rPr>
      <w:drawing>
        <wp:anchor distT="0" distB="0" distL="114300" distR="114300" simplePos="0" relativeHeight="251661312" behindDoc="0" locked="0" layoutInCell="1" allowOverlap="1" wp14:anchorId="244B95B9" wp14:editId="02BB99D3">
          <wp:simplePos x="0" y="0"/>
          <wp:positionH relativeFrom="column">
            <wp:posOffset>3548379</wp:posOffset>
          </wp:positionH>
          <wp:positionV relativeFrom="paragraph">
            <wp:posOffset>71855</wp:posOffset>
          </wp:positionV>
          <wp:extent cx="2893695" cy="283110"/>
          <wp:effectExtent l="0" t="0" r="1905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WG-Gehandicaptenzorg-logo-Blauw Groen - geen 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705" cy="287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343">
      <w:rPr>
        <w:rFonts w:ascii="Arial" w:eastAsia="Arial" w:hAnsi="Arial" w:cs="Times New Roman"/>
        <w:noProof/>
        <w:sz w:val="18"/>
        <w:szCs w:val="20"/>
        <w:lang w:eastAsia="nl-NL"/>
      </w:rPr>
      <w:t xml:space="preserve"> </w:t>
    </w:r>
    <w:r w:rsidR="00FE2343" w:rsidRPr="00FE2343">
      <w:rPr>
        <w:rFonts w:ascii="Arial" w:eastAsia="Arial" w:hAnsi="Arial" w:cs="Times New Roman"/>
        <w:noProof/>
        <w:sz w:val="18"/>
        <w:szCs w:val="20"/>
        <w:lang w:eastAsia="nl-NL"/>
      </w:rPr>
      <w:drawing>
        <wp:anchor distT="0" distB="0" distL="114300" distR="114300" simplePos="0" relativeHeight="251660288" behindDoc="1" locked="1" layoutInCell="1" allowOverlap="1" wp14:anchorId="7208EF4B" wp14:editId="5BD10091">
          <wp:simplePos x="0" y="0"/>
          <wp:positionH relativeFrom="page">
            <wp:posOffset>2390775</wp:posOffset>
          </wp:positionH>
          <wp:positionV relativeFrom="page">
            <wp:posOffset>1173480</wp:posOffset>
          </wp:positionV>
          <wp:extent cx="5169600" cy="7582680"/>
          <wp:effectExtent l="0" t="0" r="0" b="0"/>
          <wp:wrapNone/>
          <wp:docPr id="3" name="Cirk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69600" cy="7582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343" w:rsidRPr="00FE2343">
      <w:rPr>
        <w:rFonts w:ascii="Arial" w:eastAsia="Arial" w:hAnsi="Arial" w:cs="Times New Roman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D4A2" w14:textId="77777777" w:rsidR="000362D0" w:rsidRDefault="000362D0" w:rsidP="00FE2343">
      <w:pPr>
        <w:spacing w:after="0" w:line="240" w:lineRule="auto"/>
      </w:pPr>
      <w:r>
        <w:separator/>
      </w:r>
    </w:p>
  </w:footnote>
  <w:footnote w:type="continuationSeparator" w:id="0">
    <w:p w14:paraId="5ECDD8B8" w14:textId="77777777" w:rsidR="000362D0" w:rsidRDefault="000362D0" w:rsidP="00FE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E"/>
    <w:rsid w:val="000362D0"/>
    <w:rsid w:val="001132BB"/>
    <w:rsid w:val="00176A05"/>
    <w:rsid w:val="002918E8"/>
    <w:rsid w:val="003D214E"/>
    <w:rsid w:val="003D5E66"/>
    <w:rsid w:val="0040084D"/>
    <w:rsid w:val="00476A3D"/>
    <w:rsid w:val="004A2429"/>
    <w:rsid w:val="004B680C"/>
    <w:rsid w:val="004D35F5"/>
    <w:rsid w:val="005C75FD"/>
    <w:rsid w:val="0061409E"/>
    <w:rsid w:val="0062427D"/>
    <w:rsid w:val="007B3553"/>
    <w:rsid w:val="007D712E"/>
    <w:rsid w:val="009A4038"/>
    <w:rsid w:val="00A42801"/>
    <w:rsid w:val="00B002D3"/>
    <w:rsid w:val="00B030E9"/>
    <w:rsid w:val="00B05D54"/>
    <w:rsid w:val="00DF1B9F"/>
    <w:rsid w:val="00F02115"/>
    <w:rsid w:val="00F323A3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23F9A7"/>
  <w15:chartTrackingRefBased/>
  <w15:docId w15:val="{EB5BA5AB-990E-4516-908F-2B3B339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343"/>
  </w:style>
  <w:style w:type="paragraph" w:styleId="Voettekst">
    <w:name w:val="footer"/>
    <w:basedOn w:val="Standaard"/>
    <w:link w:val="VoettekstChar"/>
    <w:uiPriority w:val="99"/>
    <w:unhideWhenUsed/>
    <w:rsid w:val="00FE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343"/>
  </w:style>
  <w:style w:type="character" w:styleId="Hyperlink">
    <w:name w:val="Hyperlink"/>
    <w:basedOn w:val="Standaardalinea-lettertype"/>
    <w:uiPriority w:val="99"/>
    <w:unhideWhenUsed/>
    <w:rsid w:val="00176A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A05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084D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4D"/>
    <w:rPr>
      <w:rFonts w:ascii="Times New Roman" w:hAnsi="Times New Roman" w:cs="Times New Roman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21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21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21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21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214E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0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gn.nl/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gn.nl/c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FWG</dc:creator>
  <cp:keywords/>
  <dc:description/>
  <cp:lastModifiedBy>Margo Leemans</cp:lastModifiedBy>
  <cp:revision>3</cp:revision>
  <cp:lastPrinted>2018-03-28T14:06:00Z</cp:lastPrinted>
  <dcterms:created xsi:type="dcterms:W3CDTF">2018-03-28T14:08:00Z</dcterms:created>
  <dcterms:modified xsi:type="dcterms:W3CDTF">2018-03-29T07:51:00Z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0f1e71-d892-4c8b-bcc3-95f8fd283f9c_Enabled">
    <vt:lpwstr>True</vt:lpwstr>
  </property>
  <property fmtid="{D5CDD505-2E9C-101B-9397-08002B2CF9AE}" pid="3" name="MSIP_Label_760f1e71-d892-4c8b-bcc3-95f8fd283f9c_SiteId">
    <vt:lpwstr>50db465c-645d-4e9f-9160-897f2f66b0d8</vt:lpwstr>
  </property>
  <property fmtid="{D5CDD505-2E9C-101B-9397-08002B2CF9AE}" pid="4" name="MSIP_Label_760f1e71-d892-4c8b-bcc3-95f8fd283f9c_Ref">
    <vt:lpwstr>https://api.informationprotection.azure.com/api/50db465c-645d-4e9f-9160-897f2f66b0d8</vt:lpwstr>
  </property>
  <property fmtid="{D5CDD505-2E9C-101B-9397-08002B2CF9AE}" pid="5" name="MSIP_Label_760f1e71-d892-4c8b-bcc3-95f8fd283f9c_Owner">
    <vt:lpwstr>ekramer@fwgadvies.nl</vt:lpwstr>
  </property>
  <property fmtid="{D5CDD505-2E9C-101B-9397-08002B2CF9AE}" pid="6" name="MSIP_Label_760f1e71-d892-4c8b-bcc3-95f8fd283f9c_SetDate">
    <vt:lpwstr>2018-01-31T10:55:31.6968088+01:00</vt:lpwstr>
  </property>
  <property fmtid="{D5CDD505-2E9C-101B-9397-08002B2CF9AE}" pid="7" name="MSIP_Label_760f1e71-d892-4c8b-bcc3-95f8fd283f9c_Name">
    <vt:lpwstr>Standaard</vt:lpwstr>
  </property>
  <property fmtid="{D5CDD505-2E9C-101B-9397-08002B2CF9AE}" pid="8" name="MSIP_Label_760f1e71-d892-4c8b-bcc3-95f8fd283f9c_Application">
    <vt:lpwstr>Microsoft Azure Information Protection</vt:lpwstr>
  </property>
  <property fmtid="{D5CDD505-2E9C-101B-9397-08002B2CF9AE}" pid="9" name="MSIP_Label_760f1e71-d892-4c8b-bcc3-95f8fd283f9c_Extended_MSFT_Method">
    <vt:lpwstr>Automatic</vt:lpwstr>
  </property>
  <property fmtid="{D5CDD505-2E9C-101B-9397-08002B2CF9AE}" pid="10" name="Sensitivity">
    <vt:lpwstr>Standaard</vt:lpwstr>
  </property>
</Properties>
</file>