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FC06A" w14:textId="233B813F" w:rsidR="002E7415" w:rsidRDefault="002E7415" w:rsidP="00D43083">
      <w:r>
        <w:t xml:space="preserve">Geachte </w:t>
      </w:r>
      <w:r w:rsidR="00CA2C0F">
        <w:t>&lt;….&gt;</w:t>
      </w:r>
    </w:p>
    <w:p w14:paraId="111FAC4A" w14:textId="77777777" w:rsidR="002E7415" w:rsidRDefault="002E7415" w:rsidP="00D43083"/>
    <w:p w14:paraId="7FFE9871" w14:textId="11574F75" w:rsidR="00B7310A" w:rsidRDefault="007A391A" w:rsidP="00D43083">
      <w:r>
        <w:t xml:space="preserve">De financiële problemen van jeugdhulpaanbieders en gecertificeerde instellingen worden steeds groter. In de basis zijn </w:t>
      </w:r>
      <w:r w:rsidR="000A4551">
        <w:t>veel</w:t>
      </w:r>
      <w:r>
        <w:t xml:space="preserve"> tarieven </w:t>
      </w:r>
      <w:r w:rsidR="000A4551">
        <w:t xml:space="preserve">voor jeugdhulp </w:t>
      </w:r>
      <w:r>
        <w:t xml:space="preserve">niet passend. </w:t>
      </w:r>
      <w:r w:rsidR="00B7310A">
        <w:t xml:space="preserve">De </w:t>
      </w:r>
      <w:r w:rsidR="000A4551">
        <w:t xml:space="preserve">aankomende </w:t>
      </w:r>
      <w:r w:rsidR="00B7310A">
        <w:t xml:space="preserve">AMvB reële prijs </w:t>
      </w:r>
      <w:r w:rsidR="0019276B">
        <w:t>levert</w:t>
      </w:r>
      <w:r w:rsidR="00B7310A">
        <w:t xml:space="preserve"> naar verwachting maar een beperkte bijdrage aan het verhelpen daarvan. </w:t>
      </w:r>
    </w:p>
    <w:p w14:paraId="44A1ADF2" w14:textId="77777777" w:rsidR="00B7310A" w:rsidRDefault="00B7310A" w:rsidP="00D43083"/>
    <w:p w14:paraId="59B1BC0A" w14:textId="642B6D3E" w:rsidR="002E7415" w:rsidRDefault="000A4551" w:rsidP="00D43083">
      <w:r>
        <w:t xml:space="preserve">Met </w:t>
      </w:r>
      <w:r w:rsidR="00B7310A">
        <w:t xml:space="preserve">deze brief vragen we </w:t>
      </w:r>
      <w:r>
        <w:t xml:space="preserve">u om </w:t>
      </w:r>
      <w:r w:rsidR="00B7310A">
        <w:t xml:space="preserve">maatregelen om de </w:t>
      </w:r>
      <w:r w:rsidR="00D43083">
        <w:t xml:space="preserve">problemen rondom </w:t>
      </w:r>
      <w:r w:rsidR="00246584">
        <w:t xml:space="preserve">de </w:t>
      </w:r>
      <w:r w:rsidR="00D43083">
        <w:t>indexatie</w:t>
      </w:r>
      <w:r w:rsidR="00B7310A">
        <w:t xml:space="preserve"> aan te pakken. Het gaat om </w:t>
      </w:r>
      <w:r w:rsidR="002E7415">
        <w:t>een drietal problemen</w:t>
      </w:r>
      <w:r>
        <w:t>, waarvan de eerste uiterst acuut is</w:t>
      </w:r>
      <w:r w:rsidR="00183B6C">
        <w:t>:</w:t>
      </w:r>
    </w:p>
    <w:p w14:paraId="033E2933" w14:textId="32DD1DB5" w:rsidR="002E7415" w:rsidRDefault="002E7415" w:rsidP="002E7415">
      <w:pPr>
        <w:pStyle w:val="Lijstalinea"/>
        <w:numPr>
          <w:ilvl w:val="0"/>
          <w:numId w:val="4"/>
        </w:numPr>
      </w:pPr>
      <w:r>
        <w:t>d</w:t>
      </w:r>
      <w:r w:rsidR="00B7310A">
        <w:t xml:space="preserve">e </w:t>
      </w:r>
      <w:r>
        <w:t xml:space="preserve">recente </w:t>
      </w:r>
      <w:r w:rsidR="00B7310A">
        <w:t xml:space="preserve">stijgende energiekosten </w:t>
      </w:r>
      <w:r>
        <w:t>en de</w:t>
      </w:r>
      <w:r w:rsidR="00B7310A">
        <w:t xml:space="preserve"> inflatie waar</w:t>
      </w:r>
      <w:r w:rsidR="000A4551">
        <w:t>mee</w:t>
      </w:r>
      <w:r w:rsidR="00B7310A">
        <w:t xml:space="preserve"> </w:t>
      </w:r>
      <w:r w:rsidR="006935B1">
        <w:t xml:space="preserve">nog </w:t>
      </w:r>
      <w:r w:rsidR="00B7310A">
        <w:t>geen rekening is gehouden in de tarieven voor 2022 en 2023</w:t>
      </w:r>
      <w:r w:rsidR="000A4551">
        <w:t>,</w:t>
      </w:r>
    </w:p>
    <w:p w14:paraId="4F10568D" w14:textId="14E16F0D" w:rsidR="002E7415" w:rsidRDefault="00B7310A" w:rsidP="002E7415">
      <w:pPr>
        <w:pStyle w:val="Lijstalinea"/>
        <w:numPr>
          <w:ilvl w:val="0"/>
          <w:numId w:val="4"/>
        </w:numPr>
      </w:pPr>
      <w:r>
        <w:t xml:space="preserve">de verschillen in de systematiek die gehanteerd wordt door </w:t>
      </w:r>
      <w:r w:rsidR="000A4551">
        <w:t xml:space="preserve">veel </w:t>
      </w:r>
      <w:r>
        <w:t xml:space="preserve">gemeenten waardoor </w:t>
      </w:r>
      <w:r w:rsidR="00384433">
        <w:t xml:space="preserve">onnodige </w:t>
      </w:r>
      <w:r w:rsidR="00D1506C">
        <w:t>administratieve</w:t>
      </w:r>
      <w:r>
        <w:t xml:space="preserve"> lasten ontstaan</w:t>
      </w:r>
      <w:r w:rsidR="00D1506C">
        <w:t xml:space="preserve"> en </w:t>
      </w:r>
    </w:p>
    <w:p w14:paraId="4DA7BBBF" w14:textId="67C97720" w:rsidR="002E7415" w:rsidRDefault="000A4551" w:rsidP="002E7415">
      <w:pPr>
        <w:pStyle w:val="Lijstalinea"/>
        <w:numPr>
          <w:ilvl w:val="0"/>
          <w:numId w:val="4"/>
        </w:numPr>
      </w:pPr>
      <w:r>
        <w:t xml:space="preserve">de noodzaak tot </w:t>
      </w:r>
      <w:r w:rsidR="00D1506C">
        <w:t xml:space="preserve">naleving van de afspraken die gemaakt worden. </w:t>
      </w:r>
    </w:p>
    <w:p w14:paraId="199CD54F" w14:textId="77777777" w:rsidR="002E7415" w:rsidRDefault="002E7415" w:rsidP="002E7415"/>
    <w:p w14:paraId="6B86EB70" w14:textId="722D7174" w:rsidR="00D43083" w:rsidRDefault="009672FE" w:rsidP="002E7415">
      <w:r>
        <w:t>Uw hulp is nodig om te voorkomen dat de</w:t>
      </w:r>
      <w:r w:rsidR="00D1506C">
        <w:t xml:space="preserve"> tarieven steeds minder passend</w:t>
      </w:r>
      <w:r>
        <w:t xml:space="preserve"> worden</w:t>
      </w:r>
      <w:r w:rsidR="004F4CCA">
        <w:t xml:space="preserve">, de </w:t>
      </w:r>
      <w:r w:rsidR="002E7415">
        <w:t>financiële</w:t>
      </w:r>
      <w:r w:rsidR="004F4CCA">
        <w:t xml:space="preserve"> problemen </w:t>
      </w:r>
      <w:r>
        <w:t xml:space="preserve">van aanbieders </w:t>
      </w:r>
      <w:r w:rsidR="00384433">
        <w:t xml:space="preserve">steeds </w:t>
      </w:r>
      <w:r w:rsidR="004F4CCA">
        <w:t>groter</w:t>
      </w:r>
      <w:r w:rsidR="00D1506C">
        <w:t xml:space="preserve"> </w:t>
      </w:r>
      <w:r>
        <w:t xml:space="preserve">worden </w:t>
      </w:r>
      <w:r w:rsidR="00D1506C">
        <w:t>en de administratieve lasten hand over hand toe</w:t>
      </w:r>
      <w:r w:rsidR="00FE1F24">
        <w:t>nemen</w:t>
      </w:r>
      <w:r w:rsidR="00D1506C">
        <w:t xml:space="preserve">. </w:t>
      </w:r>
    </w:p>
    <w:p w14:paraId="4F8DDA55" w14:textId="503BFE14" w:rsidR="00D1506C" w:rsidRDefault="00D1506C" w:rsidP="00D43083"/>
    <w:p w14:paraId="1774E9CA" w14:textId="57C1B048" w:rsidR="000A4551" w:rsidRPr="005B3E81" w:rsidRDefault="000A4551" w:rsidP="000A4551">
      <w:pPr>
        <w:rPr>
          <w:b/>
          <w:bCs/>
        </w:rPr>
      </w:pPr>
      <w:r w:rsidRPr="005B3E81">
        <w:rPr>
          <w:b/>
          <w:bCs/>
        </w:rPr>
        <w:t xml:space="preserve">Aangepaste indexatie nodig voor </w:t>
      </w:r>
      <w:r>
        <w:rPr>
          <w:b/>
          <w:bCs/>
        </w:rPr>
        <w:t>forse inflatie en</w:t>
      </w:r>
      <w:r w:rsidRPr="005B3E81">
        <w:rPr>
          <w:b/>
          <w:bCs/>
        </w:rPr>
        <w:t xml:space="preserve"> stijgende energiekosten</w:t>
      </w:r>
      <w:r>
        <w:rPr>
          <w:b/>
          <w:bCs/>
        </w:rPr>
        <w:t xml:space="preserve"> (2022 en 2023)</w:t>
      </w:r>
    </w:p>
    <w:p w14:paraId="0E566E3F" w14:textId="54924000" w:rsidR="000A7A75" w:rsidRDefault="000A7A75" w:rsidP="000A7A75">
      <w:r>
        <w:t>Op dit moment hebben we te maken met een buitensporige inflatie, onder andere als gevolg van de stijgende energiekosten. In de Wet langdurige zorg</w:t>
      </w:r>
      <w:r w:rsidR="00AA0B20">
        <w:t xml:space="preserve"> (Wlz)</w:t>
      </w:r>
      <w:r>
        <w:t xml:space="preserve"> en de Zorgverzekeringswet</w:t>
      </w:r>
      <w:r w:rsidR="00AA0B20">
        <w:t xml:space="preserve"> (Zvw)</w:t>
      </w:r>
      <w:r>
        <w:t xml:space="preserve"> wordt de indexatie van tarieven voor het volgende jaar door de NZa normaliter bepaald op basis van de voorjaarsraming in het Centraal Economisch Plan (CEP). Vanwege de uitzonderlijk hoge inflatie dit jaar heeft het ministerie van VWS de NZa gevraagd om voor de tariefstelling van 2023 niet de voorjaarsraming uit het CEP te gebruiken, maar de najaarsraming uit de Macro economische Verkenning (MEV). Dit gezien de uitzonderlijke prijsstijgingen. De NZa heeft op basis van dit verzoek van het ministerie van VWS de Wlz- en Zvw-tarieven 2023 extra verhoogd</w:t>
      </w:r>
      <w:r>
        <w:rPr>
          <w:rStyle w:val="Voetnootmarkering"/>
        </w:rPr>
        <w:footnoteReference w:id="1"/>
      </w:r>
      <w:r>
        <w:t>.</w:t>
      </w:r>
    </w:p>
    <w:p w14:paraId="6F1313F1" w14:textId="77777777" w:rsidR="000A4551" w:rsidRDefault="000A4551" w:rsidP="000A4551"/>
    <w:p w14:paraId="49F0F2C5" w14:textId="085D86E7" w:rsidR="000A4551" w:rsidRPr="007735F6" w:rsidRDefault="000A4551" w:rsidP="000A4551">
      <w:r>
        <w:t xml:space="preserve">Niet alleen de aanbieders in de Wlz en Zvw hebben te maken met deze stijgende energiekosten en </w:t>
      </w:r>
      <w:r w:rsidR="000A7A75">
        <w:t xml:space="preserve">forse </w:t>
      </w:r>
      <w:r w:rsidRPr="007735F6">
        <w:t xml:space="preserve">overige inflatie. Ook aanbieders binnen de jeugdwet hebben hiermee te maken. </w:t>
      </w:r>
      <w:r w:rsidR="000A7A75">
        <w:t xml:space="preserve">Een hogere </w:t>
      </w:r>
      <w:r w:rsidRPr="007735F6">
        <w:t xml:space="preserve">indexatie </w:t>
      </w:r>
      <w:r>
        <w:t>als</w:t>
      </w:r>
      <w:r w:rsidRPr="007735F6">
        <w:t xml:space="preserve"> compensatie van deze stijgende kosten is daarom ook noodzakelijk </w:t>
      </w:r>
      <w:r>
        <w:t>voor</w:t>
      </w:r>
      <w:r w:rsidRPr="007735F6">
        <w:t xml:space="preserve"> gecertificeerde instellingen</w:t>
      </w:r>
      <w:r>
        <w:t xml:space="preserve"> en jeugdhulpaanbieders (inclusief de pleegvergoeding voor pleegouders)</w:t>
      </w:r>
      <w:r w:rsidRPr="007735F6">
        <w:t>.</w:t>
      </w:r>
    </w:p>
    <w:p w14:paraId="3B9E50E6" w14:textId="77777777" w:rsidR="000A4551" w:rsidRPr="007735F6" w:rsidRDefault="000A4551" w:rsidP="000A4551"/>
    <w:p w14:paraId="1F5216C8" w14:textId="7F2630B5" w:rsidR="000A7A75" w:rsidRDefault="000A4551" w:rsidP="000A4551">
      <w:r w:rsidRPr="007735F6">
        <w:t xml:space="preserve">De ministers en de </w:t>
      </w:r>
      <w:r>
        <w:t>st</w:t>
      </w:r>
      <w:r w:rsidRPr="007735F6">
        <w:t>aats</w:t>
      </w:r>
      <w:r w:rsidR="00246584">
        <w:t>s</w:t>
      </w:r>
      <w:r w:rsidRPr="007735F6">
        <w:t xml:space="preserve">ecretaris van VWS hebben de Tweede Kamer </w:t>
      </w:r>
      <w:r w:rsidR="00246584">
        <w:t>met</w:t>
      </w:r>
      <w:r w:rsidRPr="007735F6">
        <w:t xml:space="preserve"> </w:t>
      </w:r>
      <w:hyperlink r:id="rId11" w:history="1">
        <w:r w:rsidRPr="000A7A75">
          <w:rPr>
            <w:rStyle w:val="Hyperlink"/>
          </w:rPr>
          <w:t>een brief</w:t>
        </w:r>
      </w:hyperlink>
      <w:r w:rsidRPr="007735F6">
        <w:t xml:space="preserve"> geïnformeerd over bovenstaande aanpassingen van </w:t>
      </w:r>
      <w:r w:rsidR="00246584">
        <w:t xml:space="preserve">de </w:t>
      </w:r>
      <w:r w:rsidRPr="007735F6">
        <w:t>indexatie</w:t>
      </w:r>
      <w:r w:rsidR="000A7A75">
        <w:t xml:space="preserve"> in de Wlz en Zvw</w:t>
      </w:r>
      <w:r w:rsidRPr="007735F6">
        <w:t>. In dezelfde brief wordt verwezen</w:t>
      </w:r>
      <w:r>
        <w:t xml:space="preserve"> naar het accres dat gemeenten via het Gemeentefonds </w:t>
      </w:r>
      <w:r w:rsidR="000A7A75">
        <w:t xml:space="preserve">voor 2023 </w:t>
      </w:r>
      <w:r>
        <w:t>ontvangen</w:t>
      </w:r>
      <w:r w:rsidR="009E1804">
        <w:t>,</w:t>
      </w:r>
      <w:r>
        <w:t xml:space="preserve"> dat op basis van de MEV-raming is geactualiseerd in de septembercirculaire. Dat betekent dat de gemeenten de tarieven in 2023 kunnen aanbieden die aansluiten bij deze uitgangspunten. </w:t>
      </w:r>
      <w:r w:rsidR="000A7A75">
        <w:t xml:space="preserve">Wij verzoeken u dan ook de tarieven 2023 te verhogen met dezelfde indices als de NZa heeft gedaan voor 2023. </w:t>
      </w:r>
    </w:p>
    <w:p w14:paraId="52FF3967" w14:textId="77777777" w:rsidR="000A7A75" w:rsidRDefault="000A7A75" w:rsidP="000A4551"/>
    <w:p w14:paraId="0C1BB6D7" w14:textId="1F3919EF" w:rsidR="003B0701" w:rsidRDefault="003B0701" w:rsidP="003B0701">
      <w:r>
        <w:t xml:space="preserve">Ook voor 2022 zijn aanvullende afspraken nodig. Onze zorgbranches hebben het ministerie van VWS gevraagd om maatregelen te nemen waardoor ook </w:t>
      </w:r>
      <w:r w:rsidR="00130B7D">
        <w:t xml:space="preserve">aanbieders in </w:t>
      </w:r>
      <w:r>
        <w:t xml:space="preserve">de </w:t>
      </w:r>
      <w:r w:rsidR="001A4E4C">
        <w:t>semicollectieve</w:t>
      </w:r>
      <w:r>
        <w:t xml:space="preserve"> sector, waar het sociaal domein in brede zin onderdeel van is, de stijgende energiekosten kunnen dragen in 2022</w:t>
      </w:r>
      <w:r w:rsidR="00253253">
        <w:t xml:space="preserve"> (zie daarvoor </w:t>
      </w:r>
      <w:r w:rsidR="00246584">
        <w:t xml:space="preserve">de </w:t>
      </w:r>
      <w:r w:rsidR="00253253">
        <w:t xml:space="preserve">brief </w:t>
      </w:r>
      <w:r w:rsidR="00BD7DAD">
        <w:t xml:space="preserve">van BGZJ </w:t>
      </w:r>
      <w:r w:rsidR="00253253">
        <w:t>aan VWS in de bijlage)</w:t>
      </w:r>
      <w:r>
        <w:t xml:space="preserve">. </w:t>
      </w:r>
      <w:r w:rsidR="006D4955">
        <w:t xml:space="preserve">Het prijsplafond voor huishoudens en de tegemoetkoming energiekosten (TEK) voor </w:t>
      </w:r>
      <w:r w:rsidR="00246584">
        <w:t xml:space="preserve">het </w:t>
      </w:r>
      <w:r w:rsidR="006D4955">
        <w:t>midden- en kleinbedrijf zijn vanwege de voorwaarden niet van toepassing v</w:t>
      </w:r>
      <w:r>
        <w:t>oor aanbieders in de jeugdzorg</w:t>
      </w:r>
      <w:r w:rsidR="006D4955">
        <w:t>.</w:t>
      </w:r>
      <w:r>
        <w:t xml:space="preserve"> </w:t>
      </w:r>
      <w:r w:rsidR="00FE1F24">
        <w:t xml:space="preserve">De stijging van de energieprijzen is zo sterk dat deze niet zijn op te vangen in </w:t>
      </w:r>
      <w:r w:rsidR="006D4955">
        <w:t>de</w:t>
      </w:r>
      <w:r w:rsidR="00FE1F24">
        <w:t xml:space="preserve"> reguliere bedrijfsvoering. Zeker niet in een sector als de jeugdzorg waar de tarieven sterk onder druk staan en de marges klein zijn. </w:t>
      </w:r>
    </w:p>
    <w:p w14:paraId="79446A70" w14:textId="77777777" w:rsidR="003B0701" w:rsidRDefault="003B0701" w:rsidP="000A4551"/>
    <w:p w14:paraId="55B08974" w14:textId="77777777" w:rsidR="00EE6B8E" w:rsidRDefault="003B0701" w:rsidP="00EE6B8E">
      <w:r w:rsidRPr="00183B6C">
        <w:rPr>
          <w:b/>
          <w:bCs/>
        </w:rPr>
        <w:t xml:space="preserve">Doorzetten van beschikbare middelen </w:t>
      </w:r>
      <w:r w:rsidR="0051656F">
        <w:rPr>
          <w:b/>
          <w:bCs/>
        </w:rPr>
        <w:t>met beperking administratieve lasten</w:t>
      </w:r>
      <w:r>
        <w:rPr>
          <w:b/>
          <w:bCs/>
        </w:rPr>
        <w:br/>
      </w:r>
      <w:r w:rsidR="007F412B">
        <w:t>Zorgbranches pleiten al langer voor wettelijke verankering van de plicht van gemeenten om middelen die met een doel voor het sociaal domein beschikbaar worden gesteld, daar ook voor in te zetten op een eenduidige manier. De gang van zaken rondom de toepassing van de compensatie 1,13%</w:t>
      </w:r>
      <w:r w:rsidR="007F412B">
        <w:rPr>
          <w:rStyle w:val="Voetnootmarkering"/>
        </w:rPr>
        <w:footnoteReference w:id="2"/>
      </w:r>
      <w:r w:rsidR="007F412B">
        <w:t xml:space="preserve"> voor de loonsverhoging voor de middengroep van het loongebouw</w:t>
      </w:r>
      <w:r w:rsidR="00EE6B8E">
        <w:t xml:space="preserve"> </w:t>
      </w:r>
      <w:r w:rsidR="007F412B">
        <w:t>laat de noodzaak daarvoor zien.</w:t>
      </w:r>
      <w:r w:rsidR="00EE6B8E">
        <w:t xml:space="preserve"> Ondanks het heldere advies van de VNG (</w:t>
      </w:r>
      <w:hyperlink r:id="rId12" w:history="1">
        <w:r w:rsidR="00EE6B8E">
          <w:rPr>
            <w:rStyle w:val="Hyperlink"/>
            <w:color w:val="0000FF"/>
          </w:rPr>
          <w:t>https://vng.nl/artikelen/indexatie-bij-inkoop-jeugdhulp-en-wmo-ondersteuning</w:t>
        </w:r>
      </w:hyperlink>
      <w:r w:rsidR="00EE6B8E">
        <w:t>) heeft het Ketenbureau ISD veelvuldig moeten bemiddelen om de opname van deze 1,13% in de tarieven voor 2022 te realiseren. D</w:t>
      </w:r>
      <w:r w:rsidR="00EE6B8E" w:rsidRPr="00D07506">
        <w:t>e meeste gemeenten</w:t>
      </w:r>
      <w:r w:rsidR="00EE6B8E">
        <w:t xml:space="preserve"> en </w:t>
      </w:r>
      <w:r w:rsidR="00EE6B8E" w:rsidRPr="00D07506">
        <w:t xml:space="preserve">regio’s passen </w:t>
      </w:r>
      <w:r w:rsidR="00EE6B8E">
        <w:t xml:space="preserve">na aandringen </w:t>
      </w:r>
      <w:r w:rsidR="00EE6B8E" w:rsidRPr="00D07506">
        <w:t>de afspraken wel (vertraagd</w:t>
      </w:r>
      <w:r w:rsidR="00EE6B8E">
        <w:t xml:space="preserve">) </w:t>
      </w:r>
      <w:r w:rsidR="00EE6B8E" w:rsidRPr="00D07506">
        <w:t xml:space="preserve">toe, maar zij hanteren de berekeningssystematiek niet conform de bedoeling. </w:t>
      </w:r>
      <w:r w:rsidR="00EE6B8E">
        <w:t xml:space="preserve">Dat leidt tot een onnodig hoge administratieve last voor zowel gemeenten als aanbieders. </w:t>
      </w:r>
    </w:p>
    <w:p w14:paraId="36ECB18D" w14:textId="77777777" w:rsidR="007F412B" w:rsidRDefault="007F412B" w:rsidP="00D43083"/>
    <w:p w14:paraId="1B93EFBF" w14:textId="0648312C" w:rsidR="00531924" w:rsidRPr="00531924" w:rsidRDefault="00531924" w:rsidP="00D43083">
      <w:pPr>
        <w:rPr>
          <w:b/>
          <w:bCs/>
        </w:rPr>
      </w:pPr>
      <w:r w:rsidRPr="00531924">
        <w:rPr>
          <w:b/>
          <w:bCs/>
        </w:rPr>
        <w:t>Helderheid over de benodigde percentages</w:t>
      </w:r>
    </w:p>
    <w:p w14:paraId="711F7A08" w14:textId="36BAF42A" w:rsidR="005970AF" w:rsidRDefault="005970AF" w:rsidP="005970AF">
      <w:r>
        <w:t xml:space="preserve">Vooruitlopend op een eventuele wettelijke verankering van </w:t>
      </w:r>
      <w:r w:rsidR="00246584">
        <w:t xml:space="preserve">de </w:t>
      </w:r>
      <w:r>
        <w:t>indexatie speelt nu de besluitvorming over indexatie bij uw gemeente</w:t>
      </w:r>
      <w:r w:rsidR="006D4955">
        <w:t xml:space="preserve"> en/of </w:t>
      </w:r>
      <w:r>
        <w:t xml:space="preserve">regio. Daarom vragen wij u om de middelen die het Rijk beschikbaar stelt aan gemeenten ter compensatie van </w:t>
      </w:r>
      <w:r w:rsidR="00246584">
        <w:t xml:space="preserve">de </w:t>
      </w:r>
      <w:r>
        <w:t xml:space="preserve">hoge inflatie en </w:t>
      </w:r>
      <w:r w:rsidR="00246584">
        <w:t xml:space="preserve">de </w:t>
      </w:r>
      <w:r>
        <w:t xml:space="preserve">stijgende energielasten van aanbieders, ook aan ons door te zetten. Zodat de tarieven in het sociaal domein niet nog verder afwijken van dat wat nodig is voor een gezonde bedrijfsvoering. </w:t>
      </w:r>
    </w:p>
    <w:p w14:paraId="5F996842" w14:textId="77777777" w:rsidR="005970AF" w:rsidRDefault="005970AF" w:rsidP="005970AF"/>
    <w:p w14:paraId="2421DD6E" w14:textId="56575E39" w:rsidR="00CF01D4" w:rsidRDefault="00CF01D4" w:rsidP="00D43083">
      <w:r>
        <w:t>Om verwarring en onduidelijkheid te voorkomen, zijn hieronder de percentages opgenomen zoals gepubliceerd in het CEP en MEV</w:t>
      </w:r>
      <w:r w:rsidR="00531924">
        <w:t xml:space="preserve"> voor </w:t>
      </w:r>
      <w:r w:rsidR="00246584">
        <w:t xml:space="preserve">de </w:t>
      </w:r>
      <w:r w:rsidR="0051656F">
        <w:t xml:space="preserve">loon- en </w:t>
      </w:r>
      <w:r w:rsidR="00B22739">
        <w:t xml:space="preserve">prijsontwikkelingen </w:t>
      </w:r>
      <w:r w:rsidR="00531924">
        <w:t>2022 en 2023</w:t>
      </w:r>
      <w:r>
        <w:t xml:space="preserve">. </w:t>
      </w:r>
    </w:p>
    <w:p w14:paraId="0BD5CDD6" w14:textId="043359E2" w:rsidR="00CF01D4" w:rsidRDefault="00CF01D4" w:rsidP="00D43083"/>
    <w:p w14:paraId="219AFF70" w14:textId="2766D3CB" w:rsidR="001D3736" w:rsidRPr="007B3415" w:rsidRDefault="00B22739" w:rsidP="00D43083">
      <w:pPr>
        <w:rPr>
          <w:i/>
          <w:iCs/>
        </w:rPr>
      </w:pPr>
      <w:r>
        <w:rPr>
          <w:i/>
          <w:iCs/>
        </w:rPr>
        <w:t xml:space="preserve">Prijsontwikkelingen </w:t>
      </w:r>
      <w:r w:rsidR="00A72836">
        <w:rPr>
          <w:i/>
          <w:iCs/>
        </w:rPr>
        <w:t xml:space="preserve">2022 </w:t>
      </w:r>
    </w:p>
    <w:tbl>
      <w:tblPr>
        <w:tblStyle w:val="Tabelraster"/>
        <w:tblW w:w="0" w:type="auto"/>
        <w:tblLook w:val="04A0" w:firstRow="1" w:lastRow="0" w:firstColumn="1" w:lastColumn="0" w:noHBand="0" w:noVBand="1"/>
      </w:tblPr>
      <w:tblGrid>
        <w:gridCol w:w="1402"/>
        <w:gridCol w:w="1737"/>
        <w:gridCol w:w="1600"/>
        <w:gridCol w:w="1593"/>
        <w:gridCol w:w="1456"/>
        <w:gridCol w:w="1272"/>
      </w:tblGrid>
      <w:tr w:rsidR="00CF01D4" w:rsidRPr="00CF01D4" w14:paraId="0E004555" w14:textId="58372239" w:rsidTr="00CF01D4">
        <w:tc>
          <w:tcPr>
            <w:tcW w:w="1404" w:type="dxa"/>
          </w:tcPr>
          <w:p w14:paraId="53966898" w14:textId="77777777" w:rsidR="00CF01D4" w:rsidRPr="00CF01D4" w:rsidRDefault="00CF01D4" w:rsidP="007A391A">
            <w:pPr>
              <w:rPr>
                <w:i/>
                <w:iCs/>
              </w:rPr>
            </w:pPr>
          </w:p>
        </w:tc>
        <w:tc>
          <w:tcPr>
            <w:tcW w:w="1737" w:type="dxa"/>
          </w:tcPr>
          <w:p w14:paraId="4C376443" w14:textId="69DAC7F0" w:rsidR="00CF01D4" w:rsidRPr="00CF01D4" w:rsidRDefault="00CF01D4" w:rsidP="007A391A">
            <w:pPr>
              <w:rPr>
                <w:i/>
                <w:iCs/>
              </w:rPr>
            </w:pPr>
            <w:r w:rsidRPr="00CF01D4">
              <w:rPr>
                <w:i/>
                <w:iCs/>
              </w:rPr>
              <w:t>Voorlopig/MEV 2021</w:t>
            </w:r>
          </w:p>
        </w:tc>
        <w:tc>
          <w:tcPr>
            <w:tcW w:w="1600" w:type="dxa"/>
          </w:tcPr>
          <w:p w14:paraId="040E3E67" w14:textId="6B778F45" w:rsidR="00CF01D4" w:rsidRPr="00CF01D4" w:rsidRDefault="00CF01D4" w:rsidP="007A391A">
            <w:pPr>
              <w:rPr>
                <w:i/>
                <w:iCs/>
              </w:rPr>
            </w:pPr>
            <w:r w:rsidRPr="00CF01D4">
              <w:rPr>
                <w:i/>
                <w:iCs/>
              </w:rPr>
              <w:t>Extra voor loon – september 2021</w:t>
            </w:r>
          </w:p>
        </w:tc>
        <w:tc>
          <w:tcPr>
            <w:tcW w:w="1593" w:type="dxa"/>
          </w:tcPr>
          <w:p w14:paraId="317CA3A6" w14:textId="76760EAF" w:rsidR="00CF01D4" w:rsidRPr="00CF01D4" w:rsidRDefault="00CF01D4" w:rsidP="007A391A">
            <w:pPr>
              <w:rPr>
                <w:i/>
                <w:iCs/>
              </w:rPr>
            </w:pPr>
            <w:r w:rsidRPr="00CF01D4">
              <w:rPr>
                <w:i/>
                <w:iCs/>
              </w:rPr>
              <w:t>Definitief (incl. extra)/CEP 2022</w:t>
            </w:r>
          </w:p>
        </w:tc>
        <w:tc>
          <w:tcPr>
            <w:tcW w:w="1456" w:type="dxa"/>
          </w:tcPr>
          <w:p w14:paraId="159EF3EB" w14:textId="367D3CE8" w:rsidR="00CF01D4" w:rsidRPr="00CF01D4" w:rsidRDefault="00CF01D4" w:rsidP="007A391A">
            <w:pPr>
              <w:rPr>
                <w:i/>
                <w:iCs/>
              </w:rPr>
            </w:pPr>
            <w:r w:rsidRPr="00CF01D4">
              <w:rPr>
                <w:i/>
                <w:iCs/>
              </w:rPr>
              <w:t xml:space="preserve">Aangepast </w:t>
            </w:r>
            <w:r w:rsidR="001A4E4C" w:rsidRPr="00CF01D4">
              <w:rPr>
                <w:i/>
                <w:iCs/>
              </w:rPr>
              <w:t>i.v.m.</w:t>
            </w:r>
            <w:r w:rsidRPr="00CF01D4">
              <w:rPr>
                <w:i/>
                <w:iCs/>
              </w:rPr>
              <w:t xml:space="preserve"> inflatie MEV 2022</w:t>
            </w:r>
          </w:p>
        </w:tc>
        <w:tc>
          <w:tcPr>
            <w:tcW w:w="1272" w:type="dxa"/>
          </w:tcPr>
          <w:p w14:paraId="5628B76D" w14:textId="6B09C4C9" w:rsidR="00CF01D4" w:rsidRPr="00CF01D4" w:rsidRDefault="00CF01D4" w:rsidP="007A391A">
            <w:pPr>
              <w:rPr>
                <w:i/>
                <w:iCs/>
              </w:rPr>
            </w:pPr>
            <w:r w:rsidRPr="00CF01D4">
              <w:rPr>
                <w:i/>
                <w:iCs/>
              </w:rPr>
              <w:t>Verschil</w:t>
            </w:r>
          </w:p>
        </w:tc>
      </w:tr>
      <w:tr w:rsidR="00CF01D4" w14:paraId="05285E9A" w14:textId="7311BED0" w:rsidTr="00CF01D4">
        <w:tc>
          <w:tcPr>
            <w:tcW w:w="1404" w:type="dxa"/>
          </w:tcPr>
          <w:p w14:paraId="3B7081E1" w14:textId="6D220C2A" w:rsidR="00CF01D4" w:rsidRDefault="00CF01D4" w:rsidP="007A391A">
            <w:r>
              <w:t>OVA</w:t>
            </w:r>
          </w:p>
        </w:tc>
        <w:tc>
          <w:tcPr>
            <w:tcW w:w="1737" w:type="dxa"/>
          </w:tcPr>
          <w:p w14:paraId="663370D3" w14:textId="55DF3C3F" w:rsidR="00CF01D4" w:rsidRDefault="00CF01D4" w:rsidP="007A391A">
            <w:r>
              <w:t>2,74%</w:t>
            </w:r>
          </w:p>
        </w:tc>
        <w:tc>
          <w:tcPr>
            <w:tcW w:w="1600" w:type="dxa"/>
          </w:tcPr>
          <w:p w14:paraId="5E7C318E" w14:textId="3783247E" w:rsidR="00CF01D4" w:rsidRDefault="00CF01D4" w:rsidP="007A391A">
            <w:r>
              <w:t>1,13%</w:t>
            </w:r>
          </w:p>
        </w:tc>
        <w:tc>
          <w:tcPr>
            <w:tcW w:w="1593" w:type="dxa"/>
          </w:tcPr>
          <w:p w14:paraId="5D860BCC" w14:textId="16C442CE" w:rsidR="00CF01D4" w:rsidRDefault="00CF01D4" w:rsidP="007A391A">
            <w:r>
              <w:t>4,42%</w:t>
            </w:r>
          </w:p>
        </w:tc>
        <w:tc>
          <w:tcPr>
            <w:tcW w:w="1456" w:type="dxa"/>
          </w:tcPr>
          <w:p w14:paraId="7A7F6A92" w14:textId="075B3872" w:rsidR="00CF01D4" w:rsidRDefault="00CF01D4" w:rsidP="007A391A">
            <w:r>
              <w:t>4,42%</w:t>
            </w:r>
          </w:p>
        </w:tc>
        <w:tc>
          <w:tcPr>
            <w:tcW w:w="1272" w:type="dxa"/>
          </w:tcPr>
          <w:p w14:paraId="0AD23930" w14:textId="77777777" w:rsidR="00CF01D4" w:rsidRDefault="00CF01D4" w:rsidP="007A391A"/>
        </w:tc>
      </w:tr>
      <w:tr w:rsidR="00CF01D4" w14:paraId="6DFCD2A1" w14:textId="3DE89139" w:rsidTr="00CF01D4">
        <w:tc>
          <w:tcPr>
            <w:tcW w:w="1404" w:type="dxa"/>
          </w:tcPr>
          <w:p w14:paraId="78C1DB49" w14:textId="2893A004" w:rsidR="00CF01D4" w:rsidRDefault="00CF01D4" w:rsidP="007A391A">
            <w:r>
              <w:t>PPC</w:t>
            </w:r>
          </w:p>
        </w:tc>
        <w:tc>
          <w:tcPr>
            <w:tcW w:w="1737" w:type="dxa"/>
          </w:tcPr>
          <w:p w14:paraId="40067934" w14:textId="1026FB5C" w:rsidR="00CF01D4" w:rsidRDefault="00CF01D4" w:rsidP="007A391A">
            <w:r>
              <w:t>1,83%</w:t>
            </w:r>
          </w:p>
        </w:tc>
        <w:tc>
          <w:tcPr>
            <w:tcW w:w="1600" w:type="dxa"/>
          </w:tcPr>
          <w:p w14:paraId="53649921" w14:textId="77777777" w:rsidR="00CF01D4" w:rsidRDefault="00CF01D4" w:rsidP="007A391A"/>
        </w:tc>
        <w:tc>
          <w:tcPr>
            <w:tcW w:w="1593" w:type="dxa"/>
          </w:tcPr>
          <w:p w14:paraId="55536DA4" w14:textId="4D11B173" w:rsidR="00CF01D4" w:rsidRDefault="00CF01D4" w:rsidP="007A391A">
            <w:r>
              <w:t>6,30%</w:t>
            </w:r>
          </w:p>
        </w:tc>
        <w:tc>
          <w:tcPr>
            <w:tcW w:w="1456" w:type="dxa"/>
          </w:tcPr>
          <w:p w14:paraId="7CA20092" w14:textId="17CD9394" w:rsidR="00CF01D4" w:rsidRDefault="00CF01D4" w:rsidP="007A391A">
            <w:r>
              <w:t>9,25%</w:t>
            </w:r>
          </w:p>
        </w:tc>
        <w:tc>
          <w:tcPr>
            <w:tcW w:w="1272" w:type="dxa"/>
          </w:tcPr>
          <w:p w14:paraId="1E1806AF" w14:textId="15F565BB" w:rsidR="00CF01D4" w:rsidRDefault="00CF01D4" w:rsidP="007A391A">
            <w:r>
              <w:t>2,95%</w:t>
            </w:r>
          </w:p>
        </w:tc>
      </w:tr>
    </w:tbl>
    <w:p w14:paraId="57E1C2E2" w14:textId="0801F1E5" w:rsidR="00CF01D4" w:rsidRDefault="00CF01D4" w:rsidP="007A391A"/>
    <w:p w14:paraId="4FF869DC" w14:textId="65DA6DDF" w:rsidR="001D3736" w:rsidRDefault="00531924" w:rsidP="007A391A">
      <w:r>
        <w:t xml:space="preserve">Voor 2022 zijn de indexatiecijfers door het Centraal Planbureau vastgesteld op 4,42% voor personeelskosten en op 9,25% voor materiele kosten. Veel contractuele afspraken gaan uit van een aanpassing van de tarieven in het jaar daarop. De huidige situatie vereist echter een andere aanpak om liquiditeitsproblemen te voorkomen. Daarom doen we een oproep om </w:t>
      </w:r>
      <w:r w:rsidR="00E551A6">
        <w:t xml:space="preserve">bij de berekening van de tarieven voor 2023 de aangepaste prijsontwikkelingen van 2022 </w:t>
      </w:r>
      <w:r w:rsidR="00475FA2">
        <w:t>(MEV</w:t>
      </w:r>
      <w:r w:rsidR="002E7F6B">
        <w:t xml:space="preserve"> 2022) </w:t>
      </w:r>
      <w:r w:rsidR="00E551A6">
        <w:t>als basis voor de berekening te gebruiken, op dezelfde wijze als in de W</w:t>
      </w:r>
      <w:r w:rsidR="00246584">
        <w:t>l</w:t>
      </w:r>
      <w:r w:rsidR="00E551A6">
        <w:t>z en Zv</w:t>
      </w:r>
      <w:r w:rsidR="001A4E4C">
        <w:t>w</w:t>
      </w:r>
      <w:r w:rsidR="00E551A6">
        <w:t xml:space="preserve"> gebeur</w:t>
      </w:r>
      <w:r w:rsidR="00B80052">
        <w:t>t</w:t>
      </w:r>
      <w:r w:rsidR="00E551A6">
        <w:t xml:space="preserve">. </w:t>
      </w:r>
    </w:p>
    <w:p w14:paraId="2080461A" w14:textId="77777777" w:rsidR="00531924" w:rsidRDefault="00531924" w:rsidP="007A391A"/>
    <w:p w14:paraId="4A55FED2" w14:textId="298B4B79" w:rsidR="00B8312D" w:rsidRPr="007B3415" w:rsidRDefault="00B22739" w:rsidP="007A391A">
      <w:pPr>
        <w:rPr>
          <w:i/>
          <w:iCs/>
        </w:rPr>
      </w:pPr>
      <w:r>
        <w:rPr>
          <w:i/>
          <w:iCs/>
        </w:rPr>
        <w:t xml:space="preserve">Prijsontwikkeling </w:t>
      </w:r>
      <w:r w:rsidR="00CF01D4" w:rsidRPr="007B3415">
        <w:rPr>
          <w:i/>
          <w:iCs/>
        </w:rPr>
        <w:t>voor 2023</w:t>
      </w:r>
    </w:p>
    <w:tbl>
      <w:tblPr>
        <w:tblStyle w:val="Tabelraster"/>
        <w:tblW w:w="5750" w:type="dxa"/>
        <w:tblLayout w:type="fixed"/>
        <w:tblLook w:val="04A0" w:firstRow="1" w:lastRow="0" w:firstColumn="1" w:lastColumn="0" w:noHBand="0" w:noVBand="1"/>
      </w:tblPr>
      <w:tblGrid>
        <w:gridCol w:w="1555"/>
        <w:gridCol w:w="1417"/>
        <w:gridCol w:w="1414"/>
        <w:gridCol w:w="1364"/>
      </w:tblGrid>
      <w:tr w:rsidR="00CF01D4" w:rsidRPr="007B3415" w14:paraId="1B00B3A9" w14:textId="77777777" w:rsidTr="00CF01D4">
        <w:tc>
          <w:tcPr>
            <w:tcW w:w="1555" w:type="dxa"/>
          </w:tcPr>
          <w:p w14:paraId="7787283D" w14:textId="77777777" w:rsidR="00CF01D4" w:rsidRPr="007B3415" w:rsidRDefault="00CF01D4" w:rsidP="0082295D">
            <w:pPr>
              <w:rPr>
                <w:i/>
                <w:iCs/>
              </w:rPr>
            </w:pPr>
          </w:p>
        </w:tc>
        <w:tc>
          <w:tcPr>
            <w:tcW w:w="1417" w:type="dxa"/>
          </w:tcPr>
          <w:p w14:paraId="2C3E4F9B" w14:textId="642482EE" w:rsidR="00CF01D4" w:rsidRPr="007B3415" w:rsidRDefault="00CF01D4" w:rsidP="0082295D">
            <w:pPr>
              <w:rPr>
                <w:i/>
                <w:iCs/>
              </w:rPr>
            </w:pPr>
            <w:r w:rsidRPr="007B3415">
              <w:rPr>
                <w:i/>
                <w:iCs/>
              </w:rPr>
              <w:t>Voorlopig/ CEP 2022</w:t>
            </w:r>
          </w:p>
        </w:tc>
        <w:tc>
          <w:tcPr>
            <w:tcW w:w="1414" w:type="dxa"/>
          </w:tcPr>
          <w:p w14:paraId="171FA21A" w14:textId="67BFD779" w:rsidR="00CF01D4" w:rsidRPr="007B3415" w:rsidRDefault="00CF01D4" w:rsidP="0082295D">
            <w:pPr>
              <w:rPr>
                <w:i/>
                <w:iCs/>
              </w:rPr>
            </w:pPr>
            <w:r w:rsidRPr="007B3415">
              <w:rPr>
                <w:i/>
                <w:iCs/>
              </w:rPr>
              <w:t>Voorlopig/ MEV 2022</w:t>
            </w:r>
          </w:p>
        </w:tc>
        <w:tc>
          <w:tcPr>
            <w:tcW w:w="1364" w:type="dxa"/>
          </w:tcPr>
          <w:p w14:paraId="2F6F9FE6" w14:textId="79DB5CE4" w:rsidR="00CF01D4" w:rsidRPr="007B3415" w:rsidRDefault="00CF01D4" w:rsidP="0082295D">
            <w:pPr>
              <w:rPr>
                <w:i/>
                <w:iCs/>
              </w:rPr>
            </w:pPr>
            <w:r w:rsidRPr="007B3415">
              <w:rPr>
                <w:i/>
                <w:iCs/>
              </w:rPr>
              <w:t>Verschil</w:t>
            </w:r>
          </w:p>
        </w:tc>
      </w:tr>
      <w:tr w:rsidR="00CF01D4" w14:paraId="38F95E1F" w14:textId="77777777" w:rsidTr="00CF01D4">
        <w:tc>
          <w:tcPr>
            <w:tcW w:w="1555" w:type="dxa"/>
          </w:tcPr>
          <w:p w14:paraId="04F91DFC" w14:textId="77777777" w:rsidR="00CF01D4" w:rsidRDefault="00CF01D4" w:rsidP="0082295D">
            <w:r>
              <w:t>OVA</w:t>
            </w:r>
          </w:p>
        </w:tc>
        <w:tc>
          <w:tcPr>
            <w:tcW w:w="1417" w:type="dxa"/>
          </w:tcPr>
          <w:p w14:paraId="0011723B" w14:textId="6CEF9CCE" w:rsidR="00CF01D4" w:rsidRDefault="00CF01D4" w:rsidP="0082295D">
            <w:r>
              <w:t>3,72%</w:t>
            </w:r>
          </w:p>
        </w:tc>
        <w:tc>
          <w:tcPr>
            <w:tcW w:w="1414" w:type="dxa"/>
          </w:tcPr>
          <w:p w14:paraId="63FFF9E0" w14:textId="5F47BDD3" w:rsidR="00CF01D4" w:rsidRDefault="00CF01D4" w:rsidP="0082295D">
            <w:r>
              <w:t>4,74%</w:t>
            </w:r>
          </w:p>
        </w:tc>
        <w:tc>
          <w:tcPr>
            <w:tcW w:w="1364" w:type="dxa"/>
          </w:tcPr>
          <w:p w14:paraId="48F1BD05" w14:textId="7861BB2E" w:rsidR="00CF01D4" w:rsidRDefault="00CF01D4" w:rsidP="0082295D">
            <w:r>
              <w:t>1,02%</w:t>
            </w:r>
          </w:p>
        </w:tc>
      </w:tr>
      <w:tr w:rsidR="00CF01D4" w14:paraId="3C4A322A" w14:textId="77777777" w:rsidTr="00CF01D4">
        <w:tc>
          <w:tcPr>
            <w:tcW w:w="1555" w:type="dxa"/>
          </w:tcPr>
          <w:p w14:paraId="519CAC5E" w14:textId="77777777" w:rsidR="00CF01D4" w:rsidRDefault="00CF01D4" w:rsidP="0082295D">
            <w:r>
              <w:t>PPC</w:t>
            </w:r>
          </w:p>
        </w:tc>
        <w:tc>
          <w:tcPr>
            <w:tcW w:w="1417" w:type="dxa"/>
          </w:tcPr>
          <w:p w14:paraId="21F69956" w14:textId="6B3812A2" w:rsidR="00CF01D4" w:rsidRDefault="00CF01D4" w:rsidP="0082295D">
            <w:r>
              <w:t>2,52%</w:t>
            </w:r>
          </w:p>
        </w:tc>
        <w:tc>
          <w:tcPr>
            <w:tcW w:w="1414" w:type="dxa"/>
          </w:tcPr>
          <w:p w14:paraId="028D7B94" w14:textId="2F1C7FFB" w:rsidR="00CF01D4" w:rsidRDefault="00CF01D4" w:rsidP="0082295D">
            <w:r>
              <w:t>4,87%</w:t>
            </w:r>
          </w:p>
        </w:tc>
        <w:tc>
          <w:tcPr>
            <w:tcW w:w="1364" w:type="dxa"/>
          </w:tcPr>
          <w:p w14:paraId="344E4246" w14:textId="695DFF09" w:rsidR="00CF01D4" w:rsidRDefault="00CF01D4" w:rsidP="0082295D">
            <w:r>
              <w:t>2,35%</w:t>
            </w:r>
          </w:p>
        </w:tc>
      </w:tr>
    </w:tbl>
    <w:p w14:paraId="4691BAF7" w14:textId="599E16A8" w:rsidR="00D43083" w:rsidRPr="007B3415" w:rsidRDefault="00D43083" w:rsidP="00B80052"/>
    <w:sectPr w:rsidR="00D43083" w:rsidRPr="007B3415" w:rsidSect="00234B55">
      <w:headerReference w:type="default" r:id="rId13"/>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2EE7C" w14:textId="77777777" w:rsidR="00BA3643" w:rsidRDefault="00BA3643" w:rsidP="00D1506C">
      <w:r>
        <w:separator/>
      </w:r>
    </w:p>
  </w:endnote>
  <w:endnote w:type="continuationSeparator" w:id="0">
    <w:p w14:paraId="6B5DA314" w14:textId="77777777" w:rsidR="00BA3643" w:rsidRDefault="00BA3643" w:rsidP="00D1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7186" w14:textId="77777777" w:rsidR="00BA3643" w:rsidRDefault="00BA3643" w:rsidP="00D1506C">
      <w:r>
        <w:separator/>
      </w:r>
    </w:p>
  </w:footnote>
  <w:footnote w:type="continuationSeparator" w:id="0">
    <w:p w14:paraId="2D288559" w14:textId="77777777" w:rsidR="00BA3643" w:rsidRDefault="00BA3643" w:rsidP="00D1506C">
      <w:r>
        <w:continuationSeparator/>
      </w:r>
    </w:p>
  </w:footnote>
  <w:footnote w:id="1">
    <w:p w14:paraId="5D6540E8" w14:textId="77777777" w:rsidR="000A7A75" w:rsidRDefault="000A7A75" w:rsidP="000A7A75">
      <w:pPr>
        <w:pStyle w:val="Voetnoottekst"/>
      </w:pPr>
      <w:r>
        <w:rPr>
          <w:rStyle w:val="Voetnootmarkering"/>
        </w:rPr>
        <w:footnoteRef/>
      </w:r>
      <w:r>
        <w:t xml:space="preserve"> </w:t>
      </w:r>
      <w:hyperlink r:id="rId1" w:history="1">
        <w:r>
          <w:rPr>
            <w:rStyle w:val="Hyperlink"/>
          </w:rPr>
          <w:t>https://www.nza.nl/actueel/nieuws/2022/09/21/nza-publiceert-nieuwe-tarieven-voor-2023</w:t>
        </w:r>
      </w:hyperlink>
    </w:p>
  </w:footnote>
  <w:footnote w:id="2">
    <w:p w14:paraId="23F6711E" w14:textId="77777777" w:rsidR="007F412B" w:rsidRDefault="007F412B" w:rsidP="007F412B">
      <w:r>
        <w:rPr>
          <w:rStyle w:val="Voetnootmarkering"/>
        </w:rPr>
        <w:footnoteRef/>
      </w:r>
      <w:r>
        <w:t xml:space="preserve"> </w:t>
      </w:r>
      <w:r w:rsidRPr="00D1506C">
        <w:rPr>
          <w:sz w:val="18"/>
          <w:szCs w:val="18"/>
        </w:rPr>
        <w:t>Het voorlopige OVA-percentage voor 2022 was oorspronkelijk 1,72%. Op basis van de laatste raming van het CPB werd dit percentage verhoogd naar 2,74%. Op 23 september 2021 heeft het kabinet ervoor gekozen om het OVA-percentage voor 2022 met 1,13% extra te verhogen vanwege de beoogde loonsverhoging voor de middengroep van het loongebouw</w:t>
      </w:r>
      <w:r>
        <w:rPr>
          <w:sz w:val="18"/>
          <w:szCs w:val="18"/>
        </w:rPr>
        <w:t>.</w:t>
      </w:r>
      <w:r w:rsidRPr="00D1506C">
        <w:rPr>
          <w:sz w:val="18"/>
          <w:szCs w:val="18"/>
        </w:rPr>
        <w:t xml:space="preserve"> </w:t>
      </w:r>
      <w:r>
        <w:rPr>
          <w:sz w:val="18"/>
          <w:szCs w:val="18"/>
        </w:rPr>
        <w:t>Daardoor is h</w:t>
      </w:r>
      <w:r w:rsidRPr="00D1506C">
        <w:rPr>
          <w:sz w:val="18"/>
          <w:szCs w:val="18"/>
        </w:rPr>
        <w:t xml:space="preserve">et OVA percentage eind september 2021 </w:t>
      </w:r>
      <w:r>
        <w:rPr>
          <w:sz w:val="18"/>
          <w:szCs w:val="18"/>
        </w:rPr>
        <w:t>verhoogd</w:t>
      </w:r>
      <w:r w:rsidRPr="00D1506C">
        <w:rPr>
          <w:sz w:val="18"/>
          <w:szCs w:val="18"/>
        </w:rPr>
        <w:t xml:space="preserve"> naar 3,87%. (aangepaste raming 2,74% + extra 1,13%).</w:t>
      </w:r>
      <w:r>
        <w:rPr>
          <w:sz w:val="18"/>
          <w:szCs w:val="18"/>
        </w:rPr>
        <w:t xml:space="preserve"> De definitieve OVA voor 2022 is inmiddels door het CPB vastgesteld op 4,42%.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AE18" w14:textId="619A9B30" w:rsidR="00CA2C0F" w:rsidRPr="00F87BB0" w:rsidRDefault="00CA2C0F" w:rsidP="00CA2C0F">
    <w:pPr>
      <w:rPr>
        <w:i/>
        <w:iCs/>
        <w:u w:val="single"/>
      </w:rPr>
    </w:pPr>
    <w:r w:rsidRPr="00F87BB0">
      <w:rPr>
        <w:i/>
        <w:iCs/>
        <w:u w:val="single"/>
      </w:rPr>
      <w:t xml:space="preserve">Tekstsuggestie voor een brief van leden van Jeugdzorg Nederland, de Nederlandse ggz en VGN </w:t>
    </w:r>
  </w:p>
  <w:p w14:paraId="59F7B18C" w14:textId="77777777" w:rsidR="00CA2C0F" w:rsidRPr="00F87BB0" w:rsidRDefault="00CA2C0F" w:rsidP="00CA2C0F">
    <w:pPr>
      <w:rPr>
        <w:i/>
        <w:iCs/>
        <w:u w:val="single"/>
      </w:rPr>
    </w:pPr>
    <w:r w:rsidRPr="00F87BB0">
      <w:rPr>
        <w:i/>
        <w:iCs/>
        <w:u w:val="single"/>
      </w:rPr>
      <w:t>aan alle gemeenten en regio’s waar zij contracten mee hebben over de problematiek van inflatie en stijgende energiekosten</w:t>
    </w:r>
  </w:p>
  <w:p w14:paraId="29D83F18" w14:textId="77777777" w:rsidR="00CA2C0F" w:rsidRDefault="00CA2C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22F8"/>
    <w:multiLevelType w:val="hybridMultilevel"/>
    <w:tmpl w:val="8FC2AD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7076F3"/>
    <w:multiLevelType w:val="multilevel"/>
    <w:tmpl w:val="3DAA3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927252"/>
    <w:multiLevelType w:val="hybridMultilevel"/>
    <w:tmpl w:val="B23C42F0"/>
    <w:lvl w:ilvl="0" w:tplc="7234B72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18283945">
    <w:abstractNumId w:val="2"/>
  </w:num>
  <w:num w:numId="2" w16cid:durableId="2033530249">
    <w:abstractNumId w:val="1"/>
  </w:num>
  <w:num w:numId="3" w16cid:durableId="310868378">
    <w:abstractNumId w:val="2"/>
  </w:num>
  <w:num w:numId="4" w16cid:durableId="49133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83"/>
    <w:rsid w:val="00090E63"/>
    <w:rsid w:val="000A4551"/>
    <w:rsid w:val="000A7A75"/>
    <w:rsid w:val="000C497E"/>
    <w:rsid w:val="000F1399"/>
    <w:rsid w:val="000F318A"/>
    <w:rsid w:val="00130B7D"/>
    <w:rsid w:val="00171A73"/>
    <w:rsid w:val="00183B6C"/>
    <w:rsid w:val="0019276B"/>
    <w:rsid w:val="001A4E4C"/>
    <w:rsid w:val="001D3736"/>
    <w:rsid w:val="001D5686"/>
    <w:rsid w:val="00234B55"/>
    <w:rsid w:val="00246584"/>
    <w:rsid w:val="00253253"/>
    <w:rsid w:val="002662D1"/>
    <w:rsid w:val="00295E5C"/>
    <w:rsid w:val="002E7415"/>
    <w:rsid w:val="002E7F6B"/>
    <w:rsid w:val="003260FE"/>
    <w:rsid w:val="00384433"/>
    <w:rsid w:val="003B0701"/>
    <w:rsid w:val="003C3DCD"/>
    <w:rsid w:val="003E2EB6"/>
    <w:rsid w:val="004123A5"/>
    <w:rsid w:val="00475FA2"/>
    <w:rsid w:val="0049349E"/>
    <w:rsid w:val="004E7CF6"/>
    <w:rsid w:val="004F4CCA"/>
    <w:rsid w:val="0051656F"/>
    <w:rsid w:val="0052586E"/>
    <w:rsid w:val="00531924"/>
    <w:rsid w:val="005970AF"/>
    <w:rsid w:val="005B3E81"/>
    <w:rsid w:val="00625987"/>
    <w:rsid w:val="00670A90"/>
    <w:rsid w:val="006935B1"/>
    <w:rsid w:val="006D4955"/>
    <w:rsid w:val="007735F6"/>
    <w:rsid w:val="007A391A"/>
    <w:rsid w:val="007B3415"/>
    <w:rsid w:val="007F412B"/>
    <w:rsid w:val="008902AC"/>
    <w:rsid w:val="008E3394"/>
    <w:rsid w:val="008F7568"/>
    <w:rsid w:val="00933453"/>
    <w:rsid w:val="009672FE"/>
    <w:rsid w:val="009908A2"/>
    <w:rsid w:val="009E1804"/>
    <w:rsid w:val="00A27F13"/>
    <w:rsid w:val="00A41773"/>
    <w:rsid w:val="00A65674"/>
    <w:rsid w:val="00A72836"/>
    <w:rsid w:val="00A84879"/>
    <w:rsid w:val="00AA0B20"/>
    <w:rsid w:val="00B22739"/>
    <w:rsid w:val="00B7310A"/>
    <w:rsid w:val="00B80052"/>
    <w:rsid w:val="00B8312D"/>
    <w:rsid w:val="00BA3643"/>
    <w:rsid w:val="00BD7DAD"/>
    <w:rsid w:val="00CA2C0F"/>
    <w:rsid w:val="00CF01D4"/>
    <w:rsid w:val="00CF2259"/>
    <w:rsid w:val="00D07506"/>
    <w:rsid w:val="00D1506C"/>
    <w:rsid w:val="00D43083"/>
    <w:rsid w:val="00D55AAE"/>
    <w:rsid w:val="00E551A6"/>
    <w:rsid w:val="00EE6B8E"/>
    <w:rsid w:val="00F0186C"/>
    <w:rsid w:val="00F14170"/>
    <w:rsid w:val="00F4277E"/>
    <w:rsid w:val="00F45D6C"/>
    <w:rsid w:val="00F468E6"/>
    <w:rsid w:val="00F60588"/>
    <w:rsid w:val="00F87BB0"/>
    <w:rsid w:val="00FA315F"/>
    <w:rsid w:val="00FD2B8E"/>
    <w:rsid w:val="00FE1F24"/>
    <w:rsid w:val="00FF33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F6B45"/>
  <w15:chartTrackingRefBased/>
  <w15:docId w15:val="{07C9FFFF-FE9F-40D7-8304-0E54AE6E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308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3083"/>
    <w:pPr>
      <w:ind w:left="720"/>
    </w:pPr>
  </w:style>
  <w:style w:type="character" w:styleId="Hyperlink">
    <w:name w:val="Hyperlink"/>
    <w:basedOn w:val="Standaardalinea-lettertype"/>
    <w:uiPriority w:val="99"/>
    <w:unhideWhenUsed/>
    <w:rsid w:val="00D43083"/>
    <w:rPr>
      <w:color w:val="0563C1"/>
      <w:u w:val="single"/>
    </w:rPr>
  </w:style>
  <w:style w:type="paragraph" w:styleId="Voetnoottekst">
    <w:name w:val="footnote text"/>
    <w:basedOn w:val="Standaard"/>
    <w:link w:val="VoetnoottekstChar"/>
    <w:uiPriority w:val="99"/>
    <w:semiHidden/>
    <w:unhideWhenUsed/>
    <w:rsid w:val="00D1506C"/>
    <w:rPr>
      <w:sz w:val="20"/>
      <w:szCs w:val="20"/>
    </w:rPr>
  </w:style>
  <w:style w:type="character" w:customStyle="1" w:styleId="VoetnoottekstChar">
    <w:name w:val="Voetnoottekst Char"/>
    <w:basedOn w:val="Standaardalinea-lettertype"/>
    <w:link w:val="Voetnoottekst"/>
    <w:uiPriority w:val="99"/>
    <w:semiHidden/>
    <w:rsid w:val="00D1506C"/>
    <w:rPr>
      <w:rFonts w:ascii="Calibri" w:hAnsi="Calibri" w:cs="Calibri"/>
      <w:sz w:val="20"/>
      <w:szCs w:val="20"/>
    </w:rPr>
  </w:style>
  <w:style w:type="character" w:styleId="Voetnootmarkering">
    <w:name w:val="footnote reference"/>
    <w:basedOn w:val="Standaardalinea-lettertype"/>
    <w:uiPriority w:val="99"/>
    <w:semiHidden/>
    <w:unhideWhenUsed/>
    <w:rsid w:val="00D1506C"/>
    <w:rPr>
      <w:vertAlign w:val="superscript"/>
    </w:rPr>
  </w:style>
  <w:style w:type="character" w:customStyle="1" w:styleId="DefaultFontHxMailStyle">
    <w:name w:val="Default Font HxMail Style"/>
    <w:basedOn w:val="Standaardalinea-lettertype"/>
    <w:rsid w:val="00D07506"/>
    <w:rPr>
      <w:rFonts w:ascii="Calibri" w:hAnsi="Calibri" w:cs="Calibri" w:hint="default"/>
      <w:b w:val="0"/>
      <w:bCs w:val="0"/>
      <w:i w:val="0"/>
      <w:iCs w:val="0"/>
      <w:strike w:val="0"/>
      <w:dstrike w:val="0"/>
      <w:color w:val="auto"/>
      <w:u w:val="none"/>
      <w:effect w:val="none"/>
    </w:rPr>
  </w:style>
  <w:style w:type="character" w:styleId="GevolgdeHyperlink">
    <w:name w:val="FollowedHyperlink"/>
    <w:basedOn w:val="Standaardalinea-lettertype"/>
    <w:uiPriority w:val="99"/>
    <w:semiHidden/>
    <w:unhideWhenUsed/>
    <w:rsid w:val="00F468E6"/>
    <w:rPr>
      <w:color w:val="954F72" w:themeColor="followedHyperlink"/>
      <w:u w:val="single"/>
    </w:rPr>
  </w:style>
  <w:style w:type="table" w:styleId="Tabelraster">
    <w:name w:val="Table Grid"/>
    <w:basedOn w:val="Standaardtabel"/>
    <w:uiPriority w:val="39"/>
    <w:rsid w:val="001D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8312D"/>
    <w:rPr>
      <w:color w:val="605E5C"/>
      <w:shd w:val="clear" w:color="auto" w:fill="E1DFDD"/>
    </w:rPr>
  </w:style>
  <w:style w:type="paragraph" w:styleId="Koptekst">
    <w:name w:val="header"/>
    <w:basedOn w:val="Standaard"/>
    <w:link w:val="KoptekstChar"/>
    <w:uiPriority w:val="99"/>
    <w:unhideWhenUsed/>
    <w:rsid w:val="00CF01D4"/>
    <w:pPr>
      <w:tabs>
        <w:tab w:val="center" w:pos="4536"/>
        <w:tab w:val="right" w:pos="9072"/>
      </w:tabs>
    </w:pPr>
  </w:style>
  <w:style w:type="character" w:customStyle="1" w:styleId="KoptekstChar">
    <w:name w:val="Koptekst Char"/>
    <w:basedOn w:val="Standaardalinea-lettertype"/>
    <w:link w:val="Koptekst"/>
    <w:uiPriority w:val="99"/>
    <w:rsid w:val="00CF01D4"/>
    <w:rPr>
      <w:rFonts w:ascii="Calibri" w:hAnsi="Calibri" w:cs="Calibri"/>
    </w:rPr>
  </w:style>
  <w:style w:type="paragraph" w:styleId="Voettekst">
    <w:name w:val="footer"/>
    <w:basedOn w:val="Standaard"/>
    <w:link w:val="VoettekstChar"/>
    <w:uiPriority w:val="99"/>
    <w:unhideWhenUsed/>
    <w:rsid w:val="00CF01D4"/>
    <w:pPr>
      <w:tabs>
        <w:tab w:val="center" w:pos="4536"/>
        <w:tab w:val="right" w:pos="9072"/>
      </w:tabs>
    </w:pPr>
  </w:style>
  <w:style w:type="character" w:customStyle="1" w:styleId="VoettekstChar">
    <w:name w:val="Voettekst Char"/>
    <w:basedOn w:val="Standaardalinea-lettertype"/>
    <w:link w:val="Voettekst"/>
    <w:uiPriority w:val="99"/>
    <w:rsid w:val="00CF01D4"/>
    <w:rPr>
      <w:rFonts w:ascii="Calibri" w:hAnsi="Calibri" w:cs="Calibri"/>
    </w:rPr>
  </w:style>
  <w:style w:type="paragraph" w:styleId="Revisie">
    <w:name w:val="Revision"/>
    <w:hidden/>
    <w:uiPriority w:val="99"/>
    <w:semiHidden/>
    <w:rsid w:val="003C3DCD"/>
    <w:pPr>
      <w:spacing w:after="0" w:line="240" w:lineRule="auto"/>
    </w:pPr>
    <w:rPr>
      <w:rFonts w:ascii="Calibri" w:hAnsi="Calibri" w:cs="Calibri"/>
    </w:rPr>
  </w:style>
  <w:style w:type="character" w:styleId="Verwijzingopmerking">
    <w:name w:val="annotation reference"/>
    <w:basedOn w:val="Standaardalinea-lettertype"/>
    <w:uiPriority w:val="99"/>
    <w:semiHidden/>
    <w:unhideWhenUsed/>
    <w:rsid w:val="003C3DCD"/>
    <w:rPr>
      <w:sz w:val="16"/>
      <w:szCs w:val="16"/>
    </w:rPr>
  </w:style>
  <w:style w:type="paragraph" w:styleId="Tekstopmerking">
    <w:name w:val="annotation text"/>
    <w:basedOn w:val="Standaard"/>
    <w:link w:val="TekstopmerkingChar"/>
    <w:uiPriority w:val="99"/>
    <w:unhideWhenUsed/>
    <w:rsid w:val="003C3DCD"/>
    <w:rPr>
      <w:sz w:val="20"/>
      <w:szCs w:val="20"/>
    </w:rPr>
  </w:style>
  <w:style w:type="character" w:customStyle="1" w:styleId="TekstopmerkingChar">
    <w:name w:val="Tekst opmerking Char"/>
    <w:basedOn w:val="Standaardalinea-lettertype"/>
    <w:link w:val="Tekstopmerking"/>
    <w:uiPriority w:val="99"/>
    <w:rsid w:val="003C3DCD"/>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3C3DCD"/>
    <w:rPr>
      <w:b/>
      <w:bCs/>
    </w:rPr>
  </w:style>
  <w:style w:type="character" w:customStyle="1" w:styleId="OnderwerpvanopmerkingChar">
    <w:name w:val="Onderwerp van opmerking Char"/>
    <w:basedOn w:val="TekstopmerkingChar"/>
    <w:link w:val="Onderwerpvanopmerking"/>
    <w:uiPriority w:val="99"/>
    <w:semiHidden/>
    <w:rsid w:val="003C3DCD"/>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8930">
      <w:bodyDiv w:val="1"/>
      <w:marLeft w:val="0"/>
      <w:marRight w:val="0"/>
      <w:marTop w:val="0"/>
      <w:marBottom w:val="0"/>
      <w:divBdr>
        <w:top w:val="none" w:sz="0" w:space="0" w:color="auto"/>
        <w:left w:val="none" w:sz="0" w:space="0" w:color="auto"/>
        <w:bottom w:val="none" w:sz="0" w:space="0" w:color="auto"/>
        <w:right w:val="none" w:sz="0" w:space="0" w:color="auto"/>
      </w:divBdr>
    </w:div>
    <w:div w:id="145321180">
      <w:bodyDiv w:val="1"/>
      <w:marLeft w:val="0"/>
      <w:marRight w:val="0"/>
      <w:marTop w:val="0"/>
      <w:marBottom w:val="0"/>
      <w:divBdr>
        <w:top w:val="none" w:sz="0" w:space="0" w:color="auto"/>
        <w:left w:val="none" w:sz="0" w:space="0" w:color="auto"/>
        <w:bottom w:val="none" w:sz="0" w:space="0" w:color="auto"/>
        <w:right w:val="none" w:sz="0" w:space="0" w:color="auto"/>
      </w:divBdr>
    </w:div>
    <w:div w:id="175777887">
      <w:bodyDiv w:val="1"/>
      <w:marLeft w:val="0"/>
      <w:marRight w:val="0"/>
      <w:marTop w:val="0"/>
      <w:marBottom w:val="0"/>
      <w:divBdr>
        <w:top w:val="none" w:sz="0" w:space="0" w:color="auto"/>
        <w:left w:val="none" w:sz="0" w:space="0" w:color="auto"/>
        <w:bottom w:val="none" w:sz="0" w:space="0" w:color="auto"/>
        <w:right w:val="none" w:sz="0" w:space="0" w:color="auto"/>
      </w:divBdr>
    </w:div>
    <w:div w:id="728579075">
      <w:bodyDiv w:val="1"/>
      <w:marLeft w:val="0"/>
      <w:marRight w:val="0"/>
      <w:marTop w:val="0"/>
      <w:marBottom w:val="0"/>
      <w:divBdr>
        <w:top w:val="none" w:sz="0" w:space="0" w:color="auto"/>
        <w:left w:val="none" w:sz="0" w:space="0" w:color="auto"/>
        <w:bottom w:val="none" w:sz="0" w:space="0" w:color="auto"/>
        <w:right w:val="none" w:sz="0" w:space="0" w:color="auto"/>
      </w:divBdr>
    </w:div>
    <w:div w:id="929049538">
      <w:bodyDiv w:val="1"/>
      <w:marLeft w:val="0"/>
      <w:marRight w:val="0"/>
      <w:marTop w:val="0"/>
      <w:marBottom w:val="0"/>
      <w:divBdr>
        <w:top w:val="none" w:sz="0" w:space="0" w:color="auto"/>
        <w:left w:val="none" w:sz="0" w:space="0" w:color="auto"/>
        <w:bottom w:val="none" w:sz="0" w:space="0" w:color="auto"/>
        <w:right w:val="none" w:sz="0" w:space="0" w:color="auto"/>
      </w:divBdr>
    </w:div>
    <w:div w:id="1125855487">
      <w:bodyDiv w:val="1"/>
      <w:marLeft w:val="0"/>
      <w:marRight w:val="0"/>
      <w:marTop w:val="0"/>
      <w:marBottom w:val="0"/>
      <w:divBdr>
        <w:top w:val="none" w:sz="0" w:space="0" w:color="auto"/>
        <w:left w:val="none" w:sz="0" w:space="0" w:color="auto"/>
        <w:bottom w:val="none" w:sz="0" w:space="0" w:color="auto"/>
        <w:right w:val="none" w:sz="0" w:space="0" w:color="auto"/>
      </w:divBdr>
    </w:div>
    <w:div w:id="1159886635">
      <w:bodyDiv w:val="1"/>
      <w:marLeft w:val="0"/>
      <w:marRight w:val="0"/>
      <w:marTop w:val="0"/>
      <w:marBottom w:val="0"/>
      <w:divBdr>
        <w:top w:val="none" w:sz="0" w:space="0" w:color="auto"/>
        <w:left w:val="none" w:sz="0" w:space="0" w:color="auto"/>
        <w:bottom w:val="none" w:sz="0" w:space="0" w:color="auto"/>
        <w:right w:val="none" w:sz="0" w:space="0" w:color="auto"/>
      </w:divBdr>
    </w:div>
    <w:div w:id="164870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ng.nl/artikelen/indexatie-bij-inkoop-jeugdhulp-en-wmo-ondersteun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overheid.nl/repository/ronl-b5ecd6f57008a739ce111bfcb3d0e859d4181fd6/1/pdf/kamerbrief-over-inventarisatie-energiekosten-semi-collectieve-sector-vws-terrein.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za.nl/actueel/nieuws/2022/09/21/nza-publiceert-nieuwe-tarieven-voor-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800043-2126-4bd7-b77c-e19b48b56b99">
      <Terms xmlns="http://schemas.microsoft.com/office/infopath/2007/PartnerControls"/>
    </lcf76f155ced4ddcb4097134ff3c332f>
    <TaxCatchAll xmlns="02f23a2a-b656-4048-9967-29b84068e8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CD4A52FEEE7B408507DABD0A96AF24" ma:contentTypeVersion="16" ma:contentTypeDescription="Een nieuw document maken." ma:contentTypeScope="" ma:versionID="7c77d030f140fb7e2299fe07c78b3ad4">
  <xsd:schema xmlns:xsd="http://www.w3.org/2001/XMLSchema" xmlns:xs="http://www.w3.org/2001/XMLSchema" xmlns:p="http://schemas.microsoft.com/office/2006/metadata/properties" xmlns:ns2="f7800043-2126-4bd7-b77c-e19b48b56b99" xmlns:ns3="02f23a2a-b656-4048-9967-29b84068e8cc" targetNamespace="http://schemas.microsoft.com/office/2006/metadata/properties" ma:root="true" ma:fieldsID="5c238b5e79677f9085abdf756f7f8f3b" ns2:_="" ns3:_="">
    <xsd:import namespace="f7800043-2126-4bd7-b77c-e19b48b56b99"/>
    <xsd:import namespace="02f23a2a-b656-4048-9967-29b84068e8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00043-2126-4bd7-b77c-e19b48b56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3c9c912-9134-4d93-90bd-326d0485b8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f23a2a-b656-4048-9967-29b84068e8cc"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1797788-7ed1-46a0-9885-07fd76d3616f}" ma:internalName="TaxCatchAll" ma:showField="CatchAllData" ma:web="02f23a2a-b656-4048-9967-29b84068e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EA8A1-D97C-4357-873E-577672D5F042}">
  <ds:schemaRefs>
    <ds:schemaRef ds:uri="http://schemas.openxmlformats.org/officeDocument/2006/bibliography"/>
  </ds:schemaRefs>
</ds:datastoreItem>
</file>

<file path=customXml/itemProps2.xml><?xml version="1.0" encoding="utf-8"?>
<ds:datastoreItem xmlns:ds="http://schemas.openxmlformats.org/officeDocument/2006/customXml" ds:itemID="{4DF3826A-D5A7-4E85-8F0A-A4D022589764}">
  <ds:schemaRefs>
    <ds:schemaRef ds:uri="http://schemas.microsoft.com/office/2006/metadata/properties"/>
    <ds:schemaRef ds:uri="http://schemas.microsoft.com/office/infopath/2007/PartnerControls"/>
    <ds:schemaRef ds:uri="f7800043-2126-4bd7-b77c-e19b48b56b99"/>
    <ds:schemaRef ds:uri="02f23a2a-b656-4048-9967-29b84068e8cc"/>
  </ds:schemaRefs>
</ds:datastoreItem>
</file>

<file path=customXml/itemProps3.xml><?xml version="1.0" encoding="utf-8"?>
<ds:datastoreItem xmlns:ds="http://schemas.openxmlformats.org/officeDocument/2006/customXml" ds:itemID="{21381E71-FEDE-4EF1-A3E6-77E07DD259E9}">
  <ds:schemaRefs>
    <ds:schemaRef ds:uri="http://schemas.microsoft.com/sharepoint/v3/contenttype/forms"/>
  </ds:schemaRefs>
</ds:datastoreItem>
</file>

<file path=customXml/itemProps4.xml><?xml version="1.0" encoding="utf-8"?>
<ds:datastoreItem xmlns:ds="http://schemas.openxmlformats.org/officeDocument/2006/customXml" ds:itemID="{E44545ED-727B-4DAD-9923-E4A4F8DA7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00043-2126-4bd7-b77c-e19b48b56b99"/>
    <ds:schemaRef ds:uri="02f23a2a-b656-4048-9967-29b84068e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964</Words>
  <Characters>5303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Verburg</dc:creator>
  <cp:keywords/>
  <dc:description/>
  <cp:lastModifiedBy>Jan Visscher</cp:lastModifiedBy>
  <cp:revision>9</cp:revision>
  <dcterms:created xsi:type="dcterms:W3CDTF">2022-11-09T15:09:00Z</dcterms:created>
  <dcterms:modified xsi:type="dcterms:W3CDTF">2022-11-10T11:53:00Z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0x01010001CD4A52FEEE7B408507DABD0A96AF24</vt:lpwstr>
  </property>
  <property fmtid="{D5CDD505-2E9C-101B-9397-08002B2CF9AE}" pid="3" name="MediaServiceImageTags">
    <vt:lpwstr/>
  </property>
</Properties>
</file>